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361C" w14:textId="77777777" w:rsidR="00A53A30" w:rsidRDefault="00A53A30">
      <w:pPr>
        <w:spacing w:after="0" w:line="259" w:lineRule="auto"/>
        <w:ind w:left="-720" w:right="11113"/>
      </w:pPr>
    </w:p>
    <w:tbl>
      <w:tblPr>
        <w:tblStyle w:val="TableGrid"/>
        <w:tblW w:w="10485" w:type="dxa"/>
        <w:tblInd w:w="6" w:type="dxa"/>
        <w:tblCellMar>
          <w:top w:w="112" w:type="dxa"/>
          <w:left w:w="107" w:type="dxa"/>
          <w:right w:w="115" w:type="dxa"/>
        </w:tblCellMar>
        <w:tblLook w:val="04A0" w:firstRow="1" w:lastRow="0" w:firstColumn="1" w:lastColumn="0" w:noHBand="0" w:noVBand="1"/>
      </w:tblPr>
      <w:tblGrid>
        <w:gridCol w:w="3114"/>
        <w:gridCol w:w="7371"/>
      </w:tblGrid>
      <w:tr w:rsidR="00A53A30" w14:paraId="41A24E35" w14:textId="77777777">
        <w:trPr>
          <w:trHeight w:val="692"/>
        </w:trPr>
        <w:tc>
          <w:tcPr>
            <w:tcW w:w="10485" w:type="dxa"/>
            <w:gridSpan w:val="2"/>
            <w:tcBorders>
              <w:top w:val="single" w:sz="4" w:space="0" w:color="FFFFFF"/>
              <w:left w:val="single" w:sz="4" w:space="0" w:color="FFFFFF"/>
              <w:bottom w:val="single" w:sz="4" w:space="0" w:color="FFFFFF"/>
              <w:right w:val="single" w:sz="4" w:space="0" w:color="FFFFFF"/>
            </w:tcBorders>
            <w:shd w:val="clear" w:color="auto" w:fill="00425C"/>
          </w:tcPr>
          <w:p w14:paraId="3A289329" w14:textId="22094206" w:rsidR="00A53A30" w:rsidRPr="000D2565" w:rsidRDefault="000D2565">
            <w:pPr>
              <w:spacing w:line="259" w:lineRule="auto"/>
              <w:rPr>
                <w:i w:val="0"/>
                <w:iCs/>
              </w:rPr>
            </w:pPr>
            <w:r w:rsidRPr="000D2565">
              <w:rPr>
                <w:b/>
                <w:bCs/>
                <w:i w:val="0"/>
                <w:iCs/>
                <w:color w:val="FFFFFF"/>
                <w:sz w:val="28"/>
              </w:rPr>
              <w:t>HNC in Sport &amp; Exercise Science (Coaching Science)</w:t>
            </w:r>
          </w:p>
        </w:tc>
      </w:tr>
      <w:tr w:rsidR="00A53A30" w14:paraId="5A9EB509"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0A9F2E95" w14:textId="77777777" w:rsidR="00A53A30" w:rsidRDefault="00B508CA">
            <w:pPr>
              <w:spacing w:line="259" w:lineRule="auto"/>
            </w:pPr>
            <w:r>
              <w:rPr>
                <w:b/>
                <w:i w:val="0"/>
                <w:color w:val="FFFFFF"/>
              </w:rPr>
              <w:t xml:space="preserve">Department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17CAD01D" w14:textId="77777777" w:rsidR="00A53A30" w:rsidRDefault="00B508CA">
            <w:pPr>
              <w:spacing w:line="259" w:lineRule="auto"/>
              <w:ind w:left="2"/>
            </w:pPr>
            <w:r>
              <w:rPr>
                <w:i w:val="0"/>
              </w:rPr>
              <w:t xml:space="preserve">The Department of Health and Human Sciences </w:t>
            </w:r>
          </w:p>
        </w:tc>
      </w:tr>
      <w:tr w:rsidR="00A53A30" w14:paraId="0D324363" w14:textId="77777777">
        <w:trPr>
          <w:trHeight w:val="58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15940592" w14:textId="77777777" w:rsidR="00A53A30" w:rsidRDefault="00B508CA">
            <w:pPr>
              <w:spacing w:line="259" w:lineRule="auto"/>
            </w:pPr>
            <w:r>
              <w:rPr>
                <w:b/>
                <w:i w:val="0"/>
                <w:color w:val="FFFFFF"/>
              </w:rPr>
              <w:t xml:space="preserve">Awarding Body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6AA669B5" w14:textId="77777777" w:rsidR="00A53A30" w:rsidRDefault="00B508CA">
            <w:pPr>
              <w:spacing w:line="259" w:lineRule="auto"/>
              <w:ind w:left="2"/>
            </w:pPr>
            <w:r>
              <w:rPr>
                <w:i w:val="0"/>
              </w:rPr>
              <w:t xml:space="preserve">Pearsons </w:t>
            </w:r>
          </w:p>
        </w:tc>
      </w:tr>
      <w:tr w:rsidR="00A53A30" w14:paraId="6AB46820"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5C4FDF64" w14:textId="77777777" w:rsidR="00A53A30" w:rsidRDefault="00B508CA">
            <w:pPr>
              <w:spacing w:line="259" w:lineRule="auto"/>
            </w:pPr>
            <w:r>
              <w:rPr>
                <w:b/>
                <w:i w:val="0"/>
                <w:color w:val="FFFFFF"/>
              </w:rPr>
              <w:t xml:space="preserve">Additional Accreditations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7F39E288" w14:textId="77777777" w:rsidR="00A53A30" w:rsidRDefault="00B508CA">
            <w:pPr>
              <w:spacing w:line="259" w:lineRule="auto"/>
              <w:ind w:left="2"/>
            </w:pPr>
            <w:r>
              <w:rPr>
                <w:i w:val="0"/>
              </w:rPr>
              <w:t xml:space="preserve">None </w:t>
            </w:r>
          </w:p>
        </w:tc>
      </w:tr>
      <w:tr w:rsidR="00A53A30" w14:paraId="329E7AD2" w14:textId="77777777">
        <w:trPr>
          <w:trHeight w:val="589"/>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260B830C" w14:textId="77777777" w:rsidR="00A53A30" w:rsidRDefault="00B508CA">
            <w:pPr>
              <w:spacing w:line="259" w:lineRule="auto"/>
            </w:pPr>
            <w:r>
              <w:rPr>
                <w:b/>
                <w:i w:val="0"/>
                <w:color w:val="FFFFFF"/>
              </w:rPr>
              <w:t xml:space="preserve">Full-time Duration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22AF1AA9" w14:textId="77777777" w:rsidR="00A53A30" w:rsidRDefault="00B508CA">
            <w:pPr>
              <w:spacing w:line="259" w:lineRule="auto"/>
              <w:ind w:left="2"/>
            </w:pPr>
            <w:r>
              <w:rPr>
                <w:i w:val="0"/>
              </w:rPr>
              <w:t xml:space="preserve">1 Year </w:t>
            </w:r>
          </w:p>
        </w:tc>
      </w:tr>
      <w:tr w:rsidR="00A53A30" w14:paraId="0B40F53B"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04DA9153" w14:textId="77777777" w:rsidR="00A53A30" w:rsidRDefault="00B508CA">
            <w:pPr>
              <w:spacing w:line="259" w:lineRule="auto"/>
            </w:pPr>
            <w:r>
              <w:rPr>
                <w:b/>
                <w:i w:val="0"/>
                <w:color w:val="FFFFFF"/>
              </w:rPr>
              <w:t xml:space="preserve">Part-time Duration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5005D81F" w14:textId="77777777" w:rsidR="00A53A30" w:rsidRDefault="00B508CA">
            <w:pPr>
              <w:spacing w:line="259" w:lineRule="auto"/>
              <w:ind w:left="2"/>
            </w:pPr>
            <w:r>
              <w:rPr>
                <w:i w:val="0"/>
              </w:rPr>
              <w:t xml:space="preserve">This course is not available on a part-time basis </w:t>
            </w:r>
          </w:p>
        </w:tc>
      </w:tr>
      <w:tr w:rsidR="00A53A30" w14:paraId="5F788A0A" w14:textId="77777777">
        <w:trPr>
          <w:trHeight w:val="59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560C9559" w14:textId="77777777" w:rsidR="00A53A30" w:rsidRDefault="00B508CA">
            <w:pPr>
              <w:spacing w:line="259" w:lineRule="auto"/>
            </w:pPr>
            <w:r>
              <w:rPr>
                <w:b/>
                <w:i w:val="0"/>
                <w:color w:val="FFFFFF"/>
              </w:rPr>
              <w:t xml:space="preserve">Full-time Annual Fee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3BCA6B06" w14:textId="77777777" w:rsidR="00A53A30" w:rsidRDefault="00B508CA">
            <w:pPr>
              <w:spacing w:line="259" w:lineRule="auto"/>
              <w:ind w:left="2"/>
            </w:pPr>
            <w:r>
              <w:rPr>
                <w:i w:val="0"/>
              </w:rPr>
              <w:t xml:space="preserve">£6,360 per year full-time </w:t>
            </w:r>
          </w:p>
        </w:tc>
      </w:tr>
      <w:tr w:rsidR="00A53A30" w14:paraId="216B85ED" w14:textId="77777777">
        <w:trPr>
          <w:trHeight w:val="58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2E5478B3" w14:textId="77777777" w:rsidR="00A53A30" w:rsidRDefault="00B508CA">
            <w:pPr>
              <w:spacing w:line="259" w:lineRule="auto"/>
            </w:pPr>
            <w:r>
              <w:rPr>
                <w:b/>
                <w:i w:val="0"/>
                <w:color w:val="FFFFFF"/>
              </w:rPr>
              <w:t xml:space="preserve">Part-time Annual Fee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79A74769" w14:textId="77777777" w:rsidR="00A53A30" w:rsidRDefault="00B508CA">
            <w:pPr>
              <w:spacing w:line="259" w:lineRule="auto"/>
              <w:ind w:left="2"/>
            </w:pPr>
            <w:r>
              <w:rPr>
                <w:i w:val="0"/>
              </w:rPr>
              <w:t xml:space="preserve">N/A </w:t>
            </w:r>
          </w:p>
        </w:tc>
      </w:tr>
      <w:tr w:rsidR="00A53A30" w14:paraId="3CD714CF" w14:textId="77777777">
        <w:trPr>
          <w:trHeight w:val="336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34FD9576" w14:textId="77777777" w:rsidR="00A53A30" w:rsidRDefault="00B508CA">
            <w:pPr>
              <w:spacing w:line="259" w:lineRule="auto"/>
            </w:pPr>
            <w:r>
              <w:rPr>
                <w:b/>
                <w:i w:val="0"/>
                <w:color w:val="FFFFFF"/>
              </w:rPr>
              <w:t xml:space="preserve">Entry Requirements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7F5BAAD4" w14:textId="77777777" w:rsidR="00A53A30" w:rsidRDefault="00B508CA">
            <w:pPr>
              <w:spacing w:after="208" w:line="259" w:lineRule="auto"/>
              <w:ind w:left="2"/>
            </w:pPr>
            <w:r>
              <w:rPr>
                <w:i w:val="0"/>
              </w:rPr>
              <w:t xml:space="preserve">UCAS Tariff: 48 </w:t>
            </w:r>
          </w:p>
          <w:p w14:paraId="7AB5747C" w14:textId="77777777" w:rsidR="00A53A30" w:rsidRDefault="00B508CA">
            <w:pPr>
              <w:spacing w:after="206" w:line="259" w:lineRule="auto"/>
              <w:ind w:left="2"/>
            </w:pPr>
            <w:r>
              <w:rPr>
                <w:i w:val="0"/>
              </w:rPr>
              <w:t xml:space="preserve">A Level: DD </w:t>
            </w:r>
          </w:p>
          <w:p w14:paraId="1E42A16D" w14:textId="77777777" w:rsidR="00A53A30" w:rsidRDefault="00B508CA">
            <w:pPr>
              <w:spacing w:after="203" w:line="259" w:lineRule="auto"/>
              <w:ind w:left="2"/>
            </w:pPr>
            <w:r>
              <w:rPr>
                <w:i w:val="0"/>
              </w:rPr>
              <w:t xml:space="preserve">Pearson  </w:t>
            </w:r>
          </w:p>
          <w:p w14:paraId="7D37871E" w14:textId="77777777" w:rsidR="00A53A30" w:rsidRDefault="00B508CA">
            <w:pPr>
              <w:spacing w:after="206" w:line="259" w:lineRule="auto"/>
              <w:ind w:left="2"/>
            </w:pPr>
            <w:r>
              <w:rPr>
                <w:i w:val="0"/>
              </w:rPr>
              <w:t xml:space="preserve">L3 National Ext. Diploma: PPP </w:t>
            </w:r>
          </w:p>
          <w:p w14:paraId="564796C3" w14:textId="77777777" w:rsidR="00A53A30" w:rsidRDefault="00B508CA">
            <w:pPr>
              <w:spacing w:after="204" w:line="259" w:lineRule="auto"/>
              <w:ind w:left="2"/>
            </w:pPr>
            <w:r>
              <w:rPr>
                <w:i w:val="0"/>
              </w:rPr>
              <w:t xml:space="preserve"> </w:t>
            </w:r>
          </w:p>
          <w:p w14:paraId="136FA344" w14:textId="77777777" w:rsidR="00A53A30" w:rsidRDefault="00B508CA">
            <w:pPr>
              <w:spacing w:line="259" w:lineRule="auto"/>
              <w:ind w:left="2"/>
            </w:pPr>
            <w:r>
              <w:rPr>
                <w:i w:val="0"/>
              </w:rPr>
              <w:t xml:space="preserve">GCSE English and maths at grade 4/C or above or demonstrated competency at L2 or above  </w:t>
            </w:r>
          </w:p>
        </w:tc>
      </w:tr>
      <w:tr w:rsidR="00A53A30" w14:paraId="71397EF6" w14:textId="77777777">
        <w:trPr>
          <w:trHeight w:val="97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22463061" w14:textId="77777777" w:rsidR="00A53A30" w:rsidRDefault="00B508CA">
            <w:pPr>
              <w:spacing w:line="259" w:lineRule="auto"/>
            </w:pPr>
            <w:r>
              <w:rPr>
                <w:b/>
                <w:i w:val="0"/>
                <w:color w:val="FFFFFF"/>
              </w:rPr>
              <w:t xml:space="preserve">Study Location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79BAB148" w14:textId="77777777" w:rsidR="00A53A30" w:rsidRDefault="00B508CA">
            <w:pPr>
              <w:spacing w:after="107" w:line="259" w:lineRule="auto"/>
              <w:ind w:left="2"/>
            </w:pPr>
            <w:r>
              <w:rPr>
                <w:i w:val="0"/>
              </w:rPr>
              <w:t xml:space="preserve">University and Professional Development Centre, </w:t>
            </w:r>
          </w:p>
          <w:p w14:paraId="0A301244" w14:textId="77777777" w:rsidR="00A53A30" w:rsidRDefault="00B508CA">
            <w:pPr>
              <w:spacing w:line="259" w:lineRule="auto"/>
              <w:ind w:left="2"/>
            </w:pPr>
            <w:r>
              <w:rPr>
                <w:i w:val="0"/>
              </w:rPr>
              <w:t xml:space="preserve">73 Western Way, Bury St Edmunds UK </w:t>
            </w:r>
          </w:p>
        </w:tc>
      </w:tr>
      <w:tr w:rsidR="00A53A30" w14:paraId="45163FA9" w14:textId="77777777">
        <w:trPr>
          <w:trHeight w:val="58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45C88F6A" w14:textId="77777777" w:rsidR="00A53A30" w:rsidRDefault="00B508CA">
            <w:pPr>
              <w:spacing w:line="259" w:lineRule="auto"/>
            </w:pPr>
            <w:r>
              <w:rPr>
                <w:b/>
                <w:i w:val="0"/>
                <w:color w:val="FFFFFF"/>
              </w:rPr>
              <w:t xml:space="preserve">Subject to Validation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3A32ACA6" w14:textId="77777777" w:rsidR="00A53A30" w:rsidRDefault="00B508CA">
            <w:pPr>
              <w:spacing w:line="259" w:lineRule="auto"/>
              <w:ind w:left="2"/>
            </w:pPr>
            <w:r>
              <w:rPr>
                <w:i w:val="0"/>
              </w:rPr>
              <w:t xml:space="preserve">No </w:t>
            </w:r>
          </w:p>
        </w:tc>
      </w:tr>
      <w:tr w:rsidR="00A53A30" w14:paraId="559C29CE" w14:textId="77777777">
        <w:trPr>
          <w:trHeight w:val="3746"/>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01950AB1" w14:textId="77777777" w:rsidR="00A53A30" w:rsidRDefault="00B508CA">
            <w:pPr>
              <w:spacing w:line="259" w:lineRule="auto"/>
            </w:pPr>
            <w:r>
              <w:rPr>
                <w:b/>
                <w:i w:val="0"/>
                <w:color w:val="FFFFFF"/>
              </w:rPr>
              <w:lastRenderedPageBreak/>
              <w:t xml:space="preserve">Additional Potential Costs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4DC7E90A" w14:textId="77777777" w:rsidR="00A53A30" w:rsidRDefault="00B508CA">
            <w:pPr>
              <w:spacing w:after="98" w:line="361" w:lineRule="auto"/>
              <w:ind w:left="2"/>
            </w:pPr>
            <w:r>
              <w:rPr>
                <w:i w:val="0"/>
              </w:rPr>
              <w:t xml:space="preserve">You may need to apply for an enhanced DBS (approx. £44) depending on your work placement plans.   </w:t>
            </w:r>
          </w:p>
          <w:p w14:paraId="0943FC14" w14:textId="77777777" w:rsidR="00A53A30" w:rsidRDefault="00B508CA">
            <w:pPr>
              <w:spacing w:after="210" w:line="259" w:lineRule="auto"/>
              <w:ind w:left="2"/>
            </w:pPr>
            <w:r>
              <w:rPr>
                <w:i w:val="0"/>
              </w:rPr>
              <w:t xml:space="preserve">You will need to purchase West Suffolk College Sport practical clothing.  </w:t>
            </w:r>
          </w:p>
          <w:p w14:paraId="102A493C" w14:textId="058F1915" w:rsidR="00A53A30" w:rsidRDefault="00B508CA">
            <w:pPr>
              <w:spacing w:after="207" w:line="259" w:lineRule="auto"/>
              <w:ind w:left="2"/>
            </w:pPr>
            <w:r>
              <w:rPr>
                <w:i w:val="0"/>
              </w:rPr>
              <w:t>£</w:t>
            </w:r>
            <w:r w:rsidR="005C2B5C">
              <w:rPr>
                <w:i w:val="0"/>
              </w:rPr>
              <w:t>22</w:t>
            </w:r>
            <w:r>
              <w:rPr>
                <w:i w:val="0"/>
              </w:rPr>
              <w:t xml:space="preserve"> – T Shirt </w:t>
            </w:r>
          </w:p>
          <w:p w14:paraId="41483E97" w14:textId="745F6D66" w:rsidR="00A53A30" w:rsidRDefault="00B508CA">
            <w:pPr>
              <w:spacing w:after="204" w:line="259" w:lineRule="auto"/>
              <w:ind w:left="2"/>
            </w:pPr>
            <w:r>
              <w:rPr>
                <w:i w:val="0"/>
              </w:rPr>
              <w:t>£2</w:t>
            </w:r>
            <w:r w:rsidR="005C2B5C">
              <w:rPr>
                <w:i w:val="0"/>
              </w:rPr>
              <w:t>8</w:t>
            </w:r>
            <w:r>
              <w:rPr>
                <w:i w:val="0"/>
              </w:rPr>
              <w:t xml:space="preserve"> – Hoodie </w:t>
            </w:r>
          </w:p>
          <w:p w14:paraId="0B95FEC0" w14:textId="77777777" w:rsidR="00A53A30" w:rsidRDefault="00B508CA">
            <w:pPr>
              <w:spacing w:after="107" w:line="259" w:lineRule="auto"/>
              <w:ind w:left="2"/>
            </w:pPr>
            <w:r>
              <w:rPr>
                <w:i w:val="0"/>
              </w:rPr>
              <w:t xml:space="preserve">There potentially could be additional costs for external trips and visits. </w:t>
            </w:r>
          </w:p>
          <w:p w14:paraId="145AC1B4" w14:textId="77777777" w:rsidR="00A53A30" w:rsidRDefault="00B508CA">
            <w:pPr>
              <w:spacing w:after="206" w:line="259" w:lineRule="auto"/>
              <w:ind w:left="2"/>
            </w:pPr>
            <w:r>
              <w:rPr>
                <w:i w:val="0"/>
              </w:rPr>
              <w:t xml:space="preserve">Costs will be dependent on travel and admissions process at the time. </w:t>
            </w:r>
          </w:p>
          <w:p w14:paraId="78C5C179" w14:textId="77777777" w:rsidR="00A53A30" w:rsidRDefault="00B508CA">
            <w:pPr>
              <w:spacing w:line="259" w:lineRule="auto"/>
              <w:ind w:left="2"/>
            </w:pPr>
            <w:r>
              <w:rPr>
                <w:i w:val="0"/>
              </w:rPr>
              <w:t xml:space="preserve"> </w:t>
            </w:r>
          </w:p>
        </w:tc>
      </w:tr>
    </w:tbl>
    <w:p w14:paraId="62FC9E93" w14:textId="77777777" w:rsidR="00A53A30" w:rsidRDefault="00A53A30">
      <w:pPr>
        <w:spacing w:after="0" w:line="259" w:lineRule="auto"/>
        <w:ind w:left="-720" w:right="11113"/>
      </w:pPr>
    </w:p>
    <w:tbl>
      <w:tblPr>
        <w:tblStyle w:val="TableGrid"/>
        <w:tblW w:w="10485" w:type="dxa"/>
        <w:tblInd w:w="6" w:type="dxa"/>
        <w:tblCellMar>
          <w:top w:w="111" w:type="dxa"/>
          <w:left w:w="107" w:type="dxa"/>
          <w:right w:w="61" w:type="dxa"/>
        </w:tblCellMar>
        <w:tblLook w:val="04A0" w:firstRow="1" w:lastRow="0" w:firstColumn="1" w:lastColumn="0" w:noHBand="0" w:noVBand="1"/>
      </w:tblPr>
      <w:tblGrid>
        <w:gridCol w:w="3114"/>
        <w:gridCol w:w="7371"/>
      </w:tblGrid>
      <w:tr w:rsidR="00A53A30" w14:paraId="2274FFFF" w14:textId="77777777">
        <w:trPr>
          <w:trHeight w:val="7721"/>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105C45F9" w14:textId="77777777" w:rsidR="00A53A30" w:rsidRDefault="00B508CA">
            <w:pPr>
              <w:spacing w:line="259" w:lineRule="auto"/>
            </w:pPr>
            <w:r>
              <w:rPr>
                <w:b/>
                <w:i w:val="0"/>
                <w:color w:val="FFFFFF"/>
              </w:rPr>
              <w:t xml:space="preserve">Narrative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3EF50965" w14:textId="77777777" w:rsidR="00A53A30" w:rsidRDefault="00B508CA">
            <w:pPr>
              <w:spacing w:after="98"/>
              <w:ind w:left="2"/>
            </w:pPr>
            <w:r>
              <w:rPr>
                <w:i w:val="0"/>
              </w:rPr>
              <w:t xml:space="preserve">The overriding aim of the programme is to develop work related skills and knowledge of individual order to operate effectively, economically, and currently within the sport and active leisure industry in </w:t>
            </w:r>
            <w:proofErr w:type="gramStart"/>
            <w:r>
              <w:rPr>
                <w:i w:val="0"/>
              </w:rPr>
              <w:t>a number of</w:t>
            </w:r>
            <w:proofErr w:type="gramEnd"/>
            <w:r>
              <w:rPr>
                <w:i w:val="0"/>
              </w:rPr>
              <w:t xml:space="preserve"> roles. The course aims to further up-skill learners to be able to be innovative and drive quality and change for personal aspirations and employer organisations with revised and additional approaches to work experience placements.  </w:t>
            </w:r>
          </w:p>
          <w:p w14:paraId="59763A69" w14:textId="77777777" w:rsidR="00A53A30" w:rsidRDefault="00B508CA">
            <w:pPr>
              <w:spacing w:after="204" w:line="259" w:lineRule="auto"/>
              <w:ind w:left="2"/>
            </w:pPr>
            <w:r>
              <w:rPr>
                <w:i w:val="0"/>
                <w:color w:val="FF0000"/>
              </w:rPr>
              <w:t xml:space="preserve"> </w:t>
            </w:r>
          </w:p>
          <w:p w14:paraId="27ABBC5E" w14:textId="77777777" w:rsidR="00A53A30" w:rsidRDefault="00B508CA">
            <w:pPr>
              <w:spacing w:after="101"/>
              <w:ind w:left="2"/>
            </w:pPr>
            <w:r>
              <w:rPr>
                <w:i w:val="0"/>
              </w:rPr>
              <w:t xml:space="preserve">In terms of coaching/education and instruction skills for performance versus skills for enabling and supporting participation, the course team have experience in both areas, but the ethos of the course will lean towards participation and inclusion. This program fills a niche within a market where institutions are flooded by provisions concentrating upon sports science disciplines aimed at delivering theory without a concentration upon the skills and understanding appropriate to the level jobs available within the market. This course has been planned to reflect the ‘dynamic’ nature of sport and physical activity by highlighting areas of change required to remain up to speed with this fast-paced industry. </w:t>
            </w:r>
          </w:p>
          <w:p w14:paraId="02661D0C" w14:textId="77777777" w:rsidR="00A53A30" w:rsidRDefault="00B508CA">
            <w:pPr>
              <w:spacing w:line="259" w:lineRule="auto"/>
              <w:ind w:left="2"/>
            </w:pPr>
            <w:r>
              <w:rPr>
                <w:i w:val="0"/>
              </w:rPr>
              <w:t xml:space="preserve"> </w:t>
            </w:r>
          </w:p>
        </w:tc>
      </w:tr>
      <w:tr w:rsidR="00A53A30" w14:paraId="7F947630" w14:textId="77777777">
        <w:trPr>
          <w:trHeight w:val="3447"/>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7D8D9AAC" w14:textId="77777777" w:rsidR="00A53A30" w:rsidRDefault="00B508CA">
            <w:pPr>
              <w:spacing w:line="259" w:lineRule="auto"/>
            </w:pPr>
            <w:r>
              <w:rPr>
                <w:b/>
                <w:i w:val="0"/>
                <w:color w:val="FFFFFF"/>
              </w:rPr>
              <w:lastRenderedPageBreak/>
              <w:t xml:space="preserve">Key Course Features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3C73C2CD" w14:textId="77777777" w:rsidR="00A53A30" w:rsidRDefault="00B508CA">
            <w:pPr>
              <w:spacing w:after="97" w:line="360" w:lineRule="auto"/>
              <w:ind w:left="2"/>
            </w:pPr>
            <w:r>
              <w:rPr>
                <w:i w:val="0"/>
              </w:rPr>
              <w:t xml:space="preserve">The course is delivered on campus and requires students to attend two full days per week. Additional days are required industry placements and experience.  </w:t>
            </w:r>
          </w:p>
          <w:p w14:paraId="4005184D" w14:textId="77777777" w:rsidR="00A53A30" w:rsidRDefault="00B508CA">
            <w:pPr>
              <w:spacing w:after="96" w:line="361" w:lineRule="auto"/>
              <w:ind w:left="2"/>
            </w:pPr>
            <w:r>
              <w:rPr>
                <w:i w:val="0"/>
              </w:rPr>
              <w:t xml:space="preserve">Delivery of the course is through a range of methods including lectures, seminars, case-study, discussions, and workshops.  </w:t>
            </w:r>
          </w:p>
          <w:p w14:paraId="1E82160B" w14:textId="77777777" w:rsidR="00A53A30" w:rsidRDefault="00B508CA">
            <w:pPr>
              <w:spacing w:line="259" w:lineRule="auto"/>
              <w:ind w:left="2" w:right="12"/>
            </w:pPr>
            <w:r>
              <w:rPr>
                <w:i w:val="0"/>
              </w:rPr>
              <w:t xml:space="preserve">Year one aims to give students the opportunity to develop their core skills. This is an integrative process: as theoretical perspectives are understood and personal development increases, so will coaching skills.  </w:t>
            </w:r>
          </w:p>
        </w:tc>
      </w:tr>
      <w:tr w:rsidR="00A53A30" w14:paraId="73557B2C" w14:textId="77777777">
        <w:trPr>
          <w:trHeight w:val="2501"/>
        </w:trPr>
        <w:tc>
          <w:tcPr>
            <w:tcW w:w="3114" w:type="dxa"/>
            <w:tcBorders>
              <w:top w:val="single" w:sz="4" w:space="0" w:color="FFFFFF"/>
              <w:left w:val="single" w:sz="4" w:space="0" w:color="FFFFFF"/>
              <w:bottom w:val="nil"/>
              <w:right w:val="single" w:sz="4" w:space="0" w:color="FFFFFF"/>
            </w:tcBorders>
            <w:shd w:val="clear" w:color="auto" w:fill="00425C"/>
          </w:tcPr>
          <w:p w14:paraId="7D87199A" w14:textId="77777777" w:rsidR="00A53A30" w:rsidRDefault="00B508CA">
            <w:pPr>
              <w:spacing w:line="259" w:lineRule="auto"/>
            </w:pPr>
            <w:r>
              <w:rPr>
                <w:b/>
                <w:i w:val="0"/>
                <w:color w:val="FFFFFF"/>
              </w:rPr>
              <w:t xml:space="preserve">Career Prospects </w:t>
            </w:r>
          </w:p>
        </w:tc>
        <w:tc>
          <w:tcPr>
            <w:tcW w:w="7371" w:type="dxa"/>
            <w:tcBorders>
              <w:top w:val="single" w:sz="4" w:space="0" w:color="FFFFFF"/>
              <w:left w:val="single" w:sz="4" w:space="0" w:color="FFFFFF"/>
              <w:bottom w:val="nil"/>
              <w:right w:val="single" w:sz="4" w:space="0" w:color="FFFFFF"/>
            </w:tcBorders>
            <w:shd w:val="clear" w:color="auto" w:fill="E4ECEA"/>
          </w:tcPr>
          <w:p w14:paraId="42EE270D" w14:textId="77777777" w:rsidR="00A53A30" w:rsidRDefault="00B508CA">
            <w:pPr>
              <w:spacing w:after="206" w:line="259" w:lineRule="auto"/>
              <w:ind w:left="2"/>
            </w:pPr>
            <w:r>
              <w:rPr>
                <w:i w:val="0"/>
              </w:rPr>
              <w:t xml:space="preserve">Community Sport &amp; Physical Activity: </w:t>
            </w:r>
          </w:p>
          <w:p w14:paraId="455CEC2C" w14:textId="77777777" w:rsidR="00A53A30" w:rsidRDefault="00B508CA">
            <w:pPr>
              <w:spacing w:after="206" w:line="259" w:lineRule="auto"/>
              <w:ind w:left="2"/>
            </w:pPr>
            <w:r>
              <w:rPr>
                <w:i w:val="0"/>
              </w:rPr>
              <w:t xml:space="preserve">Sports development  </w:t>
            </w:r>
          </w:p>
          <w:p w14:paraId="18DD34A5" w14:textId="77777777" w:rsidR="00A53A30" w:rsidRDefault="00B508CA">
            <w:pPr>
              <w:spacing w:after="206" w:line="259" w:lineRule="auto"/>
              <w:ind w:left="2"/>
            </w:pPr>
            <w:r>
              <w:rPr>
                <w:i w:val="0"/>
              </w:rPr>
              <w:t xml:space="preserve">Sports coaching  </w:t>
            </w:r>
          </w:p>
          <w:p w14:paraId="79395D8D" w14:textId="77777777" w:rsidR="00A53A30" w:rsidRDefault="00B508CA">
            <w:pPr>
              <w:spacing w:after="206" w:line="259" w:lineRule="auto"/>
              <w:ind w:left="2"/>
            </w:pPr>
            <w:r>
              <w:rPr>
                <w:i w:val="0"/>
              </w:rPr>
              <w:t xml:space="preserve">Health promotion  </w:t>
            </w:r>
          </w:p>
          <w:p w14:paraId="28C6F298" w14:textId="77777777" w:rsidR="00A53A30" w:rsidRDefault="00B508CA">
            <w:pPr>
              <w:spacing w:line="259" w:lineRule="auto"/>
              <w:ind w:left="2"/>
            </w:pPr>
            <w:r>
              <w:rPr>
                <w:i w:val="0"/>
              </w:rPr>
              <w:t xml:space="preserve">Health and fitness management  </w:t>
            </w:r>
          </w:p>
        </w:tc>
      </w:tr>
    </w:tbl>
    <w:p w14:paraId="31632B8A" w14:textId="77777777" w:rsidR="00A53A30" w:rsidRDefault="00A53A30">
      <w:pPr>
        <w:spacing w:after="0" w:line="259" w:lineRule="auto"/>
        <w:ind w:left="-720" w:right="11113"/>
      </w:pPr>
    </w:p>
    <w:tbl>
      <w:tblPr>
        <w:tblStyle w:val="TableGrid"/>
        <w:tblW w:w="10485" w:type="dxa"/>
        <w:tblInd w:w="6" w:type="dxa"/>
        <w:tblCellMar>
          <w:top w:w="107" w:type="dxa"/>
          <w:left w:w="107" w:type="dxa"/>
          <w:right w:w="84" w:type="dxa"/>
        </w:tblCellMar>
        <w:tblLook w:val="04A0" w:firstRow="1" w:lastRow="0" w:firstColumn="1" w:lastColumn="0" w:noHBand="0" w:noVBand="1"/>
      </w:tblPr>
      <w:tblGrid>
        <w:gridCol w:w="3114"/>
        <w:gridCol w:w="7371"/>
      </w:tblGrid>
      <w:tr w:rsidR="00A53A30" w14:paraId="4E7FF6D6" w14:textId="77777777">
        <w:trPr>
          <w:trHeight w:val="13905"/>
        </w:trPr>
        <w:tc>
          <w:tcPr>
            <w:tcW w:w="3114" w:type="dxa"/>
            <w:tcBorders>
              <w:top w:val="nil"/>
              <w:left w:val="single" w:sz="4" w:space="0" w:color="FFFFFF"/>
              <w:bottom w:val="nil"/>
              <w:right w:val="single" w:sz="4" w:space="0" w:color="FFFFFF"/>
            </w:tcBorders>
            <w:shd w:val="clear" w:color="auto" w:fill="00425C"/>
          </w:tcPr>
          <w:p w14:paraId="448A1DFB" w14:textId="77777777" w:rsidR="00A53A30" w:rsidRDefault="00B508CA">
            <w:pPr>
              <w:spacing w:after="208" w:line="259" w:lineRule="auto"/>
            </w:pPr>
            <w:r>
              <w:rPr>
                <w:b/>
                <w:i w:val="0"/>
                <w:color w:val="FFFFFF"/>
              </w:rPr>
              <w:lastRenderedPageBreak/>
              <w:t xml:space="preserve">Module Summary </w:t>
            </w:r>
          </w:p>
          <w:p w14:paraId="01ACFFA7" w14:textId="77777777" w:rsidR="00A53A30" w:rsidRDefault="00B508CA">
            <w:pPr>
              <w:spacing w:after="203" w:line="259" w:lineRule="auto"/>
            </w:pPr>
            <w:r>
              <w:rPr>
                <w:b/>
                <w:i w:val="0"/>
                <w:color w:val="FFFFFF"/>
              </w:rPr>
              <w:t xml:space="preserve"> </w:t>
            </w:r>
          </w:p>
          <w:p w14:paraId="64D8587F" w14:textId="77777777" w:rsidR="00A53A30" w:rsidRDefault="00B508CA">
            <w:pPr>
              <w:spacing w:after="105" w:line="259" w:lineRule="auto"/>
            </w:pPr>
            <w:r>
              <w:rPr>
                <w:b/>
                <w:i w:val="0"/>
                <w:color w:val="FFFFFF"/>
              </w:rPr>
              <w:t xml:space="preserve"> </w:t>
            </w:r>
          </w:p>
          <w:p w14:paraId="5AC7EE22" w14:textId="77777777" w:rsidR="00A53A30" w:rsidRDefault="00B508CA">
            <w:pPr>
              <w:spacing w:after="105" w:line="259" w:lineRule="auto"/>
            </w:pPr>
            <w:r>
              <w:rPr>
                <w:b/>
                <w:i w:val="0"/>
                <w:color w:val="FFFFFF"/>
              </w:rPr>
              <w:t xml:space="preserve"> </w:t>
            </w:r>
          </w:p>
          <w:p w14:paraId="430771B5" w14:textId="77777777" w:rsidR="00A53A30" w:rsidRDefault="00B508CA">
            <w:pPr>
              <w:spacing w:after="105" w:line="259" w:lineRule="auto"/>
            </w:pPr>
            <w:r>
              <w:rPr>
                <w:b/>
                <w:i w:val="0"/>
                <w:color w:val="FFFFFF"/>
              </w:rPr>
              <w:t xml:space="preserve"> </w:t>
            </w:r>
          </w:p>
          <w:p w14:paraId="0FA2010D" w14:textId="77777777" w:rsidR="00A53A30" w:rsidRDefault="00B508CA">
            <w:pPr>
              <w:spacing w:after="105" w:line="259" w:lineRule="auto"/>
            </w:pPr>
            <w:r>
              <w:rPr>
                <w:b/>
                <w:i w:val="0"/>
                <w:color w:val="FFFFFF"/>
              </w:rPr>
              <w:t xml:space="preserve"> </w:t>
            </w:r>
          </w:p>
          <w:p w14:paraId="550F1076" w14:textId="77777777" w:rsidR="00A53A30" w:rsidRDefault="00B508CA">
            <w:pPr>
              <w:spacing w:after="105" w:line="259" w:lineRule="auto"/>
            </w:pPr>
            <w:r>
              <w:rPr>
                <w:b/>
                <w:i w:val="0"/>
                <w:color w:val="FFFFFF"/>
              </w:rPr>
              <w:t xml:space="preserve"> </w:t>
            </w:r>
          </w:p>
          <w:p w14:paraId="3DF7564F" w14:textId="77777777" w:rsidR="00A53A30" w:rsidRDefault="00B508CA">
            <w:pPr>
              <w:spacing w:after="106" w:line="259" w:lineRule="auto"/>
            </w:pPr>
            <w:r>
              <w:rPr>
                <w:b/>
                <w:i w:val="0"/>
                <w:color w:val="FFFFFF"/>
              </w:rPr>
              <w:t xml:space="preserve"> </w:t>
            </w:r>
          </w:p>
          <w:p w14:paraId="54B6ED90" w14:textId="77777777" w:rsidR="00A53A30" w:rsidRDefault="00B508CA">
            <w:pPr>
              <w:spacing w:line="259" w:lineRule="auto"/>
              <w:ind w:left="33"/>
              <w:jc w:val="center"/>
            </w:pPr>
            <w:r>
              <w:rPr>
                <w:b/>
                <w:i w:val="0"/>
                <w:color w:val="FFFFFF"/>
              </w:rPr>
              <w:t xml:space="preserve"> </w:t>
            </w:r>
          </w:p>
        </w:tc>
        <w:tc>
          <w:tcPr>
            <w:tcW w:w="7371" w:type="dxa"/>
            <w:tcBorders>
              <w:top w:val="nil"/>
              <w:left w:val="single" w:sz="4" w:space="0" w:color="FFFFFF"/>
              <w:bottom w:val="nil"/>
              <w:right w:val="single" w:sz="4" w:space="0" w:color="FFFFFF"/>
            </w:tcBorders>
            <w:shd w:val="clear" w:color="auto" w:fill="E4ECEA"/>
            <w:vAlign w:val="center"/>
          </w:tcPr>
          <w:p w14:paraId="08C4977D" w14:textId="151E2C14" w:rsidR="00A53A30" w:rsidRDefault="00B508CA">
            <w:pPr>
              <w:spacing w:after="206" w:line="259" w:lineRule="auto"/>
              <w:ind w:left="2"/>
            </w:pPr>
            <w:r>
              <w:rPr>
                <w:b/>
                <w:i w:val="0"/>
              </w:rPr>
              <w:t xml:space="preserve">Nutrition </w:t>
            </w:r>
          </w:p>
          <w:p w14:paraId="78F458A5" w14:textId="77777777" w:rsidR="00A53A30" w:rsidRDefault="00B508CA">
            <w:pPr>
              <w:spacing w:after="100"/>
              <w:ind w:left="2"/>
            </w:pPr>
            <w:r>
              <w:rPr>
                <w:i w:val="0"/>
              </w:rPr>
              <w:t xml:space="preserve">This unit aims to equip the student with the knowledge, skills, and competencies to understand the nutritional composition of food and the effects of nutritional choices on the health of a person. They will focus on diet prescription for specific populations and gain an understanding of labelling systems and the pitfalls that can be associated with them. </w:t>
            </w:r>
          </w:p>
          <w:p w14:paraId="50F9A1A9" w14:textId="75CE45AA" w:rsidR="00A53A30" w:rsidRDefault="00B508CA">
            <w:pPr>
              <w:spacing w:after="203" w:line="259" w:lineRule="auto"/>
              <w:ind w:left="2"/>
            </w:pPr>
            <w:r>
              <w:rPr>
                <w:b/>
                <w:i w:val="0"/>
              </w:rPr>
              <w:t xml:space="preserve">Fundamentals of Sports Psychology </w:t>
            </w:r>
          </w:p>
          <w:p w14:paraId="13BBA3A5" w14:textId="77777777" w:rsidR="00A53A30" w:rsidRDefault="00B508CA" w:rsidP="0031101E">
            <w:pPr>
              <w:spacing w:after="100" w:line="360" w:lineRule="auto"/>
              <w:ind w:left="2"/>
            </w:pPr>
            <w:r>
              <w:rPr>
                <w:i w:val="0"/>
              </w:rPr>
              <w:t xml:space="preserve">The aims of this unit are to illustrate how psychological concepts underpin involvement in sport and exercise and to demonstrate their impact on human behaviour. Students will explore the innate characteristics which are seen as the basis for sport and exercise behaviour. Students will also develop an appreciation of how the social environment within which sport and exercise takes place influences the outcome of their participation. </w:t>
            </w:r>
          </w:p>
          <w:p w14:paraId="20819CDA" w14:textId="6E5D8FD6" w:rsidR="00A53A30" w:rsidRDefault="00B508CA" w:rsidP="000E4649">
            <w:pPr>
              <w:spacing w:after="203" w:line="259" w:lineRule="auto"/>
            </w:pPr>
            <w:r>
              <w:rPr>
                <w:b/>
                <w:i w:val="0"/>
              </w:rPr>
              <w:t xml:space="preserve">Anatomy and Physiology </w:t>
            </w:r>
          </w:p>
          <w:p w14:paraId="63E8B93A" w14:textId="77777777" w:rsidR="000E4649" w:rsidRDefault="00B508CA" w:rsidP="000E4649">
            <w:pPr>
              <w:spacing w:after="97"/>
              <w:ind w:left="2"/>
            </w:pPr>
            <w:r>
              <w:rPr>
                <w:i w:val="0"/>
              </w:rPr>
              <w:t xml:space="preserve">This unit is designed for students wanting to gain knowledge of the anatomy of the musculoskeletal system and understanding how movement is produced. Students interested in careers such as personal training, physical education teaching, occupational therapy, coaching, exercise prescription and performance analysis would find this a key unit in informing their practice. </w:t>
            </w:r>
          </w:p>
          <w:p w14:paraId="530EDCED" w14:textId="1507B649" w:rsidR="00A53A30" w:rsidRDefault="00B508CA" w:rsidP="000E4649">
            <w:pPr>
              <w:spacing w:after="97"/>
              <w:ind w:left="2"/>
            </w:pPr>
            <w:r>
              <w:rPr>
                <w:b/>
                <w:i w:val="0"/>
              </w:rPr>
              <w:t xml:space="preserve">Professional Skills </w:t>
            </w:r>
          </w:p>
          <w:p w14:paraId="7C3E6535" w14:textId="77777777" w:rsidR="00A53A30" w:rsidRDefault="00B508CA">
            <w:pPr>
              <w:spacing w:after="100"/>
              <w:ind w:left="2"/>
            </w:pPr>
            <w:r>
              <w:rPr>
                <w:i w:val="0"/>
              </w:rPr>
              <w:t xml:space="preserve">The aim of this unit is to develop students’ knowledge and understanding of the skills and techniques necessary to carry out Sport and Exercise Science-related research. Research in Sport and Exercise Science has global significance and is essential in influencing the development of high-quality participation and performance and, fundamentally, promoting the health and wellbeing of individuals all over the world. </w:t>
            </w:r>
          </w:p>
          <w:p w14:paraId="00BD9ECA" w14:textId="77777777" w:rsidR="00A53A30" w:rsidRDefault="00B508CA" w:rsidP="000E4649">
            <w:pPr>
              <w:spacing w:after="201" w:line="259" w:lineRule="auto"/>
            </w:pPr>
            <w:r>
              <w:rPr>
                <w:b/>
                <w:i w:val="0"/>
              </w:rPr>
              <w:t xml:space="preserve">Coaching Practice and Skill Development </w:t>
            </w:r>
          </w:p>
          <w:p w14:paraId="05815AAB" w14:textId="77777777" w:rsidR="00A53A30" w:rsidRDefault="00B508CA" w:rsidP="0031101E">
            <w:pPr>
              <w:spacing w:line="360" w:lineRule="auto"/>
              <w:ind w:left="2"/>
            </w:pPr>
            <w:r>
              <w:rPr>
                <w:i w:val="0"/>
              </w:rPr>
              <w:t xml:space="preserve">The aim of this unit is to provide students with the knowledge and understanding of coaching practice and the skill development associated with athlete performance. Students will engage in researching the impact of different coaching practices, working in various environments, utilising resources, developing skills and planning effective sessions. They will </w:t>
            </w:r>
          </w:p>
        </w:tc>
      </w:tr>
    </w:tbl>
    <w:p w14:paraId="1E2D553B" w14:textId="77777777" w:rsidR="00A53A30" w:rsidRDefault="00A53A30">
      <w:pPr>
        <w:spacing w:after="0" w:line="259" w:lineRule="auto"/>
        <w:ind w:left="-720" w:right="11113"/>
      </w:pPr>
    </w:p>
    <w:tbl>
      <w:tblPr>
        <w:tblStyle w:val="TableGrid"/>
        <w:tblW w:w="10485" w:type="dxa"/>
        <w:tblInd w:w="6" w:type="dxa"/>
        <w:tblCellMar>
          <w:top w:w="10" w:type="dxa"/>
          <w:left w:w="107" w:type="dxa"/>
          <w:right w:w="50" w:type="dxa"/>
        </w:tblCellMar>
        <w:tblLook w:val="04A0" w:firstRow="1" w:lastRow="0" w:firstColumn="1" w:lastColumn="0" w:noHBand="0" w:noVBand="1"/>
      </w:tblPr>
      <w:tblGrid>
        <w:gridCol w:w="3114"/>
        <w:gridCol w:w="7371"/>
      </w:tblGrid>
      <w:tr w:rsidR="00A53A30" w14:paraId="5CA26489" w14:textId="77777777">
        <w:trPr>
          <w:trHeight w:val="10956"/>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4C2B78B9" w14:textId="77777777" w:rsidR="00A53A30" w:rsidRDefault="00A53A30">
            <w:pPr>
              <w:spacing w:line="259" w:lineRule="auto"/>
            </w:pP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3AC32534" w14:textId="77777777" w:rsidR="00A53A30" w:rsidRDefault="00B508CA">
            <w:pPr>
              <w:spacing w:after="60" w:line="397" w:lineRule="auto"/>
              <w:ind w:left="2"/>
            </w:pPr>
            <w:r>
              <w:rPr>
                <w:i w:val="0"/>
              </w:rPr>
              <w:t xml:space="preserve">gain an understanding of the importance of developing sessions dependent on the group’s demographics. </w:t>
            </w:r>
          </w:p>
          <w:p w14:paraId="6B77071E" w14:textId="77777777" w:rsidR="00A53A30" w:rsidRDefault="00B508CA" w:rsidP="00C15534">
            <w:pPr>
              <w:spacing w:after="203" w:line="259" w:lineRule="auto"/>
            </w:pPr>
            <w:r>
              <w:rPr>
                <w:b/>
                <w:i w:val="0"/>
              </w:rPr>
              <w:t xml:space="preserve">Training, Fitness, Testing </w:t>
            </w:r>
          </w:p>
          <w:p w14:paraId="5058F1D3" w14:textId="77777777" w:rsidR="00A53A30" w:rsidRDefault="00B508CA">
            <w:pPr>
              <w:spacing w:after="101"/>
              <w:ind w:left="2" w:right="9"/>
            </w:pPr>
            <w:r>
              <w:rPr>
                <w:i w:val="0"/>
              </w:rPr>
              <w:t xml:space="preserve">Training, fitness and testing can be applied within all areas of sport and exercise science because it examines the different fitness requirements of different sports, the different training methods that can develop these areas and the adaptations that occur within a team or individual </w:t>
            </w:r>
            <w:proofErr w:type="gramStart"/>
            <w:r>
              <w:rPr>
                <w:i w:val="0"/>
              </w:rPr>
              <w:t>as a result of</w:t>
            </w:r>
            <w:proofErr w:type="gramEnd"/>
            <w:r>
              <w:rPr>
                <w:i w:val="0"/>
              </w:rPr>
              <w:t xml:space="preserve"> these adopted methods. </w:t>
            </w:r>
          </w:p>
          <w:p w14:paraId="7F420317" w14:textId="05FAF59F" w:rsidR="00A53A30" w:rsidRDefault="000E4649" w:rsidP="00C15534">
            <w:pPr>
              <w:spacing w:after="203" w:line="259" w:lineRule="auto"/>
              <w:rPr>
                <w:b/>
                <w:bCs/>
                <w:i w:val="0"/>
                <w:iCs/>
              </w:rPr>
            </w:pPr>
            <w:r w:rsidRPr="000E4649">
              <w:rPr>
                <w:b/>
                <w:bCs/>
                <w:i w:val="0"/>
                <w:iCs/>
              </w:rPr>
              <w:t xml:space="preserve">Technology in sport </w:t>
            </w:r>
          </w:p>
          <w:p w14:paraId="256B8F86" w14:textId="77777777" w:rsidR="000E4649" w:rsidRPr="000E4649" w:rsidRDefault="000E4649" w:rsidP="0031101E">
            <w:pPr>
              <w:spacing w:after="203" w:line="360" w:lineRule="auto"/>
              <w:rPr>
                <w:i w:val="0"/>
                <w:iCs/>
              </w:rPr>
            </w:pPr>
            <w:r w:rsidRPr="000E4649">
              <w:rPr>
                <w:i w:val="0"/>
                <w:iCs/>
              </w:rPr>
              <w:t>This unit enables students to develop knowledge and understanding of the role and impact of technology within modern sport. Students will examine how technological advancements enhance performance, support coaching practices, and improve analysis of both individual and team activities. They will investigate a range of tools including performance analysis software, wearable technology, and video feedback systems.</w:t>
            </w:r>
          </w:p>
          <w:p w14:paraId="2A6DBD1B" w14:textId="77777777" w:rsidR="000E4649" w:rsidRPr="000E4649" w:rsidRDefault="000E4649" w:rsidP="0031101E">
            <w:pPr>
              <w:spacing w:after="203" w:line="360" w:lineRule="auto"/>
              <w:rPr>
                <w:i w:val="0"/>
                <w:iCs/>
              </w:rPr>
            </w:pPr>
            <w:r w:rsidRPr="000E4649">
              <w:rPr>
                <w:i w:val="0"/>
                <w:iCs/>
              </w:rPr>
              <w:t>Students will develop practical skills in collecting, interpreting and presenting performance data to inform decision-making. They will also explore how technology can be used to monitor fitness, prevent injury, and support rehabilitation. This unit will allow students to gain insight into the ethical considerations and limitations of technology in sport, as well as its influence on fairness, accessibility, and the evolution of sporting performance.</w:t>
            </w:r>
          </w:p>
          <w:p w14:paraId="44EDA674" w14:textId="77777777" w:rsidR="00A53A30" w:rsidRDefault="00B508CA" w:rsidP="00C15534">
            <w:pPr>
              <w:spacing w:after="201" w:line="259" w:lineRule="auto"/>
            </w:pPr>
            <w:r>
              <w:rPr>
                <w:b/>
                <w:i w:val="0"/>
              </w:rPr>
              <w:t xml:space="preserve">Community Coaching </w:t>
            </w:r>
          </w:p>
          <w:p w14:paraId="6C178050" w14:textId="77777777" w:rsidR="00A53A30" w:rsidRDefault="00B508CA" w:rsidP="0031101E">
            <w:pPr>
              <w:spacing w:line="360" w:lineRule="auto"/>
              <w:ind w:left="2"/>
            </w:pPr>
            <w:r>
              <w:rPr>
                <w:i w:val="0"/>
              </w:rPr>
              <w:t xml:space="preserve">This unit challenges students to understand the different cultures and contexts in which sports coaches work, and to understand the role of policy and national governing body initiatives in shaping the pedagogic practice of coaches in the community. Students successfully completing this unit will be able to describe the political landscape of their local coaching environments and understand the challenges and mechanisms for adapting and redesigning sports activities and games to achieve wider outcomes for participants, governing bodies, and sporting organisations. </w:t>
            </w:r>
          </w:p>
        </w:tc>
      </w:tr>
      <w:tr w:rsidR="00A53A30" w14:paraId="43D99FA6" w14:textId="77777777">
        <w:trPr>
          <w:trHeight w:val="1450"/>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5CF7D620" w14:textId="77777777" w:rsidR="00A53A30" w:rsidRDefault="00B508CA">
            <w:pPr>
              <w:spacing w:line="259" w:lineRule="auto"/>
            </w:pPr>
            <w:r>
              <w:rPr>
                <w:b/>
                <w:i w:val="0"/>
                <w:color w:val="FFFFFF"/>
              </w:rPr>
              <w:t xml:space="preserve">Staff Team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2ADE7B38" w14:textId="77777777" w:rsidR="00A53A30" w:rsidRDefault="00B508CA">
            <w:pPr>
              <w:spacing w:after="98" w:line="361" w:lineRule="auto"/>
              <w:ind w:left="2"/>
            </w:pPr>
            <w:r>
              <w:rPr>
                <w:i w:val="0"/>
              </w:rPr>
              <w:t xml:space="preserve">All lecturing staff are vocational specialists. Fully qualified with vast industry knowledge.  </w:t>
            </w:r>
          </w:p>
          <w:p w14:paraId="3429D4E8" w14:textId="77777777" w:rsidR="00A53A30" w:rsidRDefault="00B508CA">
            <w:pPr>
              <w:spacing w:line="259" w:lineRule="auto"/>
              <w:ind w:left="2"/>
            </w:pPr>
            <w:r>
              <w:rPr>
                <w:i w:val="0"/>
              </w:rPr>
              <w:t xml:space="preserve"> </w:t>
            </w:r>
          </w:p>
        </w:tc>
      </w:tr>
      <w:tr w:rsidR="00A53A30" w14:paraId="56CC4783" w14:textId="77777777" w:rsidTr="00F5734F">
        <w:trPr>
          <w:trHeight w:val="1769"/>
        </w:trPr>
        <w:tc>
          <w:tcPr>
            <w:tcW w:w="3114" w:type="dxa"/>
            <w:tcBorders>
              <w:top w:val="single" w:sz="4" w:space="0" w:color="FFFFFF"/>
              <w:left w:val="single" w:sz="4" w:space="0" w:color="FFFFFF"/>
              <w:bottom w:val="nil"/>
              <w:right w:val="single" w:sz="4" w:space="0" w:color="FFFFFF"/>
            </w:tcBorders>
            <w:shd w:val="clear" w:color="auto" w:fill="00425C"/>
          </w:tcPr>
          <w:p w14:paraId="0ECE7534" w14:textId="77777777" w:rsidR="00A53A30" w:rsidRDefault="00B508CA">
            <w:pPr>
              <w:spacing w:line="259" w:lineRule="auto"/>
            </w:pPr>
            <w:r>
              <w:rPr>
                <w:b/>
                <w:i w:val="0"/>
                <w:color w:val="FFFFFF"/>
              </w:rPr>
              <w:lastRenderedPageBreak/>
              <w:t xml:space="preserve">Assessment Methods </w:t>
            </w:r>
          </w:p>
        </w:tc>
        <w:tc>
          <w:tcPr>
            <w:tcW w:w="7371" w:type="dxa"/>
            <w:tcBorders>
              <w:top w:val="single" w:sz="4" w:space="0" w:color="FFFFFF"/>
              <w:left w:val="single" w:sz="4" w:space="0" w:color="FFFFFF"/>
              <w:bottom w:val="nil"/>
              <w:right w:val="single" w:sz="4" w:space="0" w:color="FFFFFF"/>
            </w:tcBorders>
            <w:shd w:val="clear" w:color="auto" w:fill="E4ECEA"/>
          </w:tcPr>
          <w:p w14:paraId="217313D3" w14:textId="77777777" w:rsidR="00A53A30" w:rsidRDefault="00B508CA">
            <w:pPr>
              <w:spacing w:line="259" w:lineRule="auto"/>
              <w:ind w:left="2" w:right="59"/>
              <w:jc w:val="both"/>
            </w:pPr>
            <w:r>
              <w:rPr>
                <w:i w:val="0"/>
              </w:rPr>
              <w:t xml:space="preserve">A variety of assessment methods are used which include written reports, written assignments, literature reviews, group presentations, and the compilation of a learning journal. </w:t>
            </w:r>
          </w:p>
        </w:tc>
      </w:tr>
      <w:tr w:rsidR="00A53A30" w14:paraId="303B4841" w14:textId="77777777">
        <w:trPr>
          <w:trHeight w:val="868"/>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75E05FD4" w14:textId="77777777" w:rsidR="00A53A30" w:rsidRDefault="00A53A30">
            <w:pPr>
              <w:spacing w:line="259" w:lineRule="auto"/>
            </w:pP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3BC92FCB" w14:textId="77777777" w:rsidR="00A53A30" w:rsidRDefault="00B508CA">
            <w:pPr>
              <w:spacing w:line="259" w:lineRule="auto"/>
              <w:ind w:left="2"/>
            </w:pPr>
            <w:r>
              <w:rPr>
                <w:i w:val="0"/>
              </w:rPr>
              <w:t xml:space="preserve">Modules are assessed by the module leader and internally verified by another member of staff. </w:t>
            </w:r>
          </w:p>
        </w:tc>
      </w:tr>
      <w:tr w:rsidR="00A53A30" w14:paraId="5EE08A46" w14:textId="77777777">
        <w:trPr>
          <w:trHeight w:val="7163"/>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6D4FA05B" w14:textId="77777777" w:rsidR="00A53A30" w:rsidRDefault="00B508CA">
            <w:pPr>
              <w:spacing w:after="206" w:line="259" w:lineRule="auto"/>
            </w:pPr>
            <w:r>
              <w:rPr>
                <w:b/>
                <w:i w:val="0"/>
                <w:color w:val="FFFFFF"/>
              </w:rPr>
              <w:t xml:space="preserve">Typical Module Diet </w:t>
            </w:r>
          </w:p>
          <w:p w14:paraId="22C7AC7C" w14:textId="77777777" w:rsidR="00A53A30" w:rsidRDefault="00B508CA">
            <w:pPr>
              <w:spacing w:line="259" w:lineRule="auto"/>
            </w:pPr>
            <w:r>
              <w:rPr>
                <w:b/>
                <w:i w:val="0"/>
                <w:color w:val="FFFFFF"/>
              </w:rPr>
              <w:t>All modules are 15 credits unless stated</w:t>
            </w:r>
            <w:r>
              <w:rPr>
                <w:b/>
                <w:color w:val="FFFFFF"/>
              </w:rPr>
              <w:t xml:space="preserve">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6130DA66" w14:textId="77777777" w:rsidR="00A53A30" w:rsidRDefault="00B508CA">
            <w:pPr>
              <w:spacing w:line="259" w:lineRule="auto"/>
              <w:ind w:left="2"/>
            </w:pPr>
            <w:r>
              <w:rPr>
                <w:i w:val="0"/>
                <w:sz w:val="6"/>
              </w:rPr>
              <w:t xml:space="preserve"> </w:t>
            </w:r>
          </w:p>
          <w:tbl>
            <w:tblPr>
              <w:tblStyle w:val="TableGrid"/>
              <w:tblW w:w="6977" w:type="dxa"/>
              <w:tblInd w:w="8" w:type="dxa"/>
              <w:tblCellMar>
                <w:top w:w="111" w:type="dxa"/>
                <w:left w:w="107" w:type="dxa"/>
                <w:right w:w="121" w:type="dxa"/>
              </w:tblCellMar>
              <w:tblLook w:val="04A0" w:firstRow="1" w:lastRow="0" w:firstColumn="1" w:lastColumn="0" w:noHBand="0" w:noVBand="1"/>
            </w:tblPr>
            <w:tblGrid>
              <w:gridCol w:w="3004"/>
              <w:gridCol w:w="1988"/>
              <w:gridCol w:w="1985"/>
            </w:tblGrid>
            <w:tr w:rsidR="00A53A30" w14:paraId="0B6C51D9" w14:textId="77777777">
              <w:trPr>
                <w:trHeight w:val="589"/>
              </w:trPr>
              <w:tc>
                <w:tcPr>
                  <w:tcW w:w="3004" w:type="dxa"/>
                  <w:tcBorders>
                    <w:top w:val="single" w:sz="4" w:space="0" w:color="FFFFFF"/>
                    <w:left w:val="single" w:sz="4" w:space="0" w:color="FFFFFF"/>
                    <w:bottom w:val="single" w:sz="4" w:space="0" w:color="FFFFFF"/>
                    <w:right w:val="nil"/>
                  </w:tcBorders>
                  <w:shd w:val="clear" w:color="auto" w:fill="00425C"/>
                </w:tcPr>
                <w:p w14:paraId="2A377497" w14:textId="77777777" w:rsidR="00A53A30" w:rsidRDefault="00B508CA">
                  <w:pPr>
                    <w:spacing w:line="259" w:lineRule="auto"/>
                  </w:pPr>
                  <w:r>
                    <w:rPr>
                      <w:b/>
                      <w:i w:val="0"/>
                      <w:color w:val="FFFFFF"/>
                    </w:rPr>
                    <w:t xml:space="preserve">Year 1 (L4) </w:t>
                  </w:r>
                </w:p>
              </w:tc>
              <w:tc>
                <w:tcPr>
                  <w:tcW w:w="1988" w:type="dxa"/>
                  <w:tcBorders>
                    <w:top w:val="single" w:sz="4" w:space="0" w:color="FFFFFF"/>
                    <w:left w:val="nil"/>
                    <w:bottom w:val="single" w:sz="4" w:space="0" w:color="FFFFFF"/>
                    <w:right w:val="nil"/>
                  </w:tcBorders>
                  <w:shd w:val="clear" w:color="auto" w:fill="00425C"/>
                </w:tcPr>
                <w:p w14:paraId="2C809029" w14:textId="77777777" w:rsidR="00A53A30" w:rsidRDefault="00B508CA">
                  <w:pPr>
                    <w:spacing w:line="259" w:lineRule="auto"/>
                    <w:ind w:left="1"/>
                  </w:pPr>
                  <w:r>
                    <w:rPr>
                      <w:b/>
                      <w:i w:val="0"/>
                      <w:color w:val="FFFFFF"/>
                    </w:rPr>
                    <w:t xml:space="preserve">Unit Type </w:t>
                  </w:r>
                </w:p>
              </w:tc>
              <w:tc>
                <w:tcPr>
                  <w:tcW w:w="1985" w:type="dxa"/>
                  <w:tcBorders>
                    <w:top w:val="single" w:sz="4" w:space="0" w:color="FFFFFF"/>
                    <w:left w:val="nil"/>
                    <w:bottom w:val="single" w:sz="4" w:space="0" w:color="FFFFFF"/>
                    <w:right w:val="single" w:sz="4" w:space="0" w:color="FFFFFF"/>
                  </w:tcBorders>
                  <w:shd w:val="clear" w:color="auto" w:fill="00425C"/>
                </w:tcPr>
                <w:p w14:paraId="5B273D6C" w14:textId="77777777" w:rsidR="00A53A30" w:rsidRDefault="00B508CA">
                  <w:pPr>
                    <w:spacing w:line="259" w:lineRule="auto"/>
                    <w:ind w:left="1"/>
                  </w:pPr>
                  <w:r>
                    <w:rPr>
                      <w:b/>
                      <w:i w:val="0"/>
                      <w:color w:val="FFFFFF"/>
                    </w:rPr>
                    <w:t xml:space="preserve">Semester </w:t>
                  </w:r>
                </w:p>
              </w:tc>
            </w:tr>
            <w:tr w:rsidR="00A53A30" w14:paraId="72754F5D" w14:textId="77777777">
              <w:trPr>
                <w:trHeight w:val="5462"/>
              </w:trPr>
              <w:tc>
                <w:tcPr>
                  <w:tcW w:w="3004" w:type="dxa"/>
                  <w:tcBorders>
                    <w:top w:val="single" w:sz="4" w:space="0" w:color="FFFFFF"/>
                    <w:left w:val="single" w:sz="4" w:space="0" w:color="FFFFFF"/>
                    <w:bottom w:val="single" w:sz="4" w:space="0" w:color="FFFFFF"/>
                    <w:right w:val="single" w:sz="4" w:space="0" w:color="FFFFFF"/>
                  </w:tcBorders>
                  <w:shd w:val="clear" w:color="auto" w:fill="C5D6D2"/>
                </w:tcPr>
                <w:p w14:paraId="558C9DBD" w14:textId="77777777" w:rsidR="00A53A30" w:rsidRDefault="00B508CA">
                  <w:pPr>
                    <w:numPr>
                      <w:ilvl w:val="0"/>
                      <w:numId w:val="3"/>
                    </w:numPr>
                    <w:spacing w:after="211" w:line="259" w:lineRule="auto"/>
                  </w:pPr>
                  <w:r>
                    <w:rPr>
                      <w:i w:val="0"/>
                    </w:rPr>
                    <w:t xml:space="preserve">Nutrition </w:t>
                  </w:r>
                  <w:r>
                    <w:rPr>
                      <w:i w:val="0"/>
                    </w:rPr>
                    <w:tab/>
                    <w:t xml:space="preserve"> </w:t>
                  </w:r>
                </w:p>
                <w:p w14:paraId="3676E3F2" w14:textId="56A9EFBF" w:rsidR="00A53A30" w:rsidRDefault="00B508CA" w:rsidP="000E4649">
                  <w:pPr>
                    <w:numPr>
                      <w:ilvl w:val="0"/>
                      <w:numId w:val="3"/>
                    </w:numPr>
                    <w:spacing w:after="107" w:line="259" w:lineRule="auto"/>
                  </w:pPr>
                  <w:r>
                    <w:rPr>
                      <w:i w:val="0"/>
                    </w:rPr>
                    <w:t xml:space="preserve">Fundamentals of Sports </w:t>
                  </w:r>
                  <w:r w:rsidRPr="000E4649">
                    <w:rPr>
                      <w:i w:val="0"/>
                    </w:rPr>
                    <w:t xml:space="preserve">Psychology </w:t>
                  </w:r>
                </w:p>
                <w:p w14:paraId="0A1389AB" w14:textId="77777777" w:rsidR="00A53A30" w:rsidRDefault="00B508CA">
                  <w:pPr>
                    <w:numPr>
                      <w:ilvl w:val="0"/>
                      <w:numId w:val="3"/>
                    </w:numPr>
                    <w:spacing w:after="204" w:line="259" w:lineRule="auto"/>
                  </w:pPr>
                  <w:r>
                    <w:rPr>
                      <w:i w:val="0"/>
                    </w:rPr>
                    <w:t xml:space="preserve">Anatomy and Physiology </w:t>
                  </w:r>
                </w:p>
                <w:p w14:paraId="2A9514ED" w14:textId="77777777" w:rsidR="00A53A30" w:rsidRDefault="00B508CA">
                  <w:pPr>
                    <w:numPr>
                      <w:ilvl w:val="0"/>
                      <w:numId w:val="3"/>
                    </w:numPr>
                    <w:spacing w:after="96" w:line="361" w:lineRule="auto"/>
                  </w:pPr>
                  <w:r>
                    <w:rPr>
                      <w:i w:val="0"/>
                    </w:rPr>
                    <w:t xml:space="preserve">Professional Skills (Pearsons Set) </w:t>
                  </w:r>
                </w:p>
                <w:p w14:paraId="34509D98" w14:textId="77777777" w:rsidR="00A53A30" w:rsidRDefault="00B508CA">
                  <w:pPr>
                    <w:numPr>
                      <w:ilvl w:val="0"/>
                      <w:numId w:val="3"/>
                    </w:numPr>
                    <w:spacing w:after="106" w:line="361" w:lineRule="auto"/>
                  </w:pPr>
                  <w:r>
                    <w:rPr>
                      <w:i w:val="0"/>
                    </w:rPr>
                    <w:t xml:space="preserve">Coaching Practice and Skill Development </w:t>
                  </w:r>
                  <w:r>
                    <w:rPr>
                      <w:i w:val="0"/>
                    </w:rPr>
                    <w:tab/>
                    <w:t xml:space="preserve"> </w:t>
                  </w:r>
                </w:p>
                <w:p w14:paraId="13BA8D5D" w14:textId="77777777" w:rsidR="00A53A30" w:rsidRDefault="00B508CA">
                  <w:pPr>
                    <w:numPr>
                      <w:ilvl w:val="0"/>
                      <w:numId w:val="3"/>
                    </w:numPr>
                    <w:spacing w:after="203" w:line="259" w:lineRule="auto"/>
                  </w:pPr>
                  <w:r>
                    <w:rPr>
                      <w:i w:val="0"/>
                    </w:rPr>
                    <w:t xml:space="preserve">Training, Fitness, Testing </w:t>
                  </w:r>
                </w:p>
                <w:p w14:paraId="76CDE4A6" w14:textId="686CB887" w:rsidR="00A53A30" w:rsidRDefault="00C15534">
                  <w:pPr>
                    <w:numPr>
                      <w:ilvl w:val="0"/>
                      <w:numId w:val="3"/>
                    </w:numPr>
                    <w:spacing w:after="203" w:line="259" w:lineRule="auto"/>
                  </w:pPr>
                  <w:r>
                    <w:rPr>
                      <w:i w:val="0"/>
                    </w:rPr>
                    <w:t xml:space="preserve">Technology in Sport </w:t>
                  </w:r>
                  <w:r w:rsidR="00B508CA">
                    <w:rPr>
                      <w:i w:val="0"/>
                    </w:rPr>
                    <w:t xml:space="preserve"> </w:t>
                  </w:r>
                </w:p>
                <w:p w14:paraId="53C9B987" w14:textId="77777777" w:rsidR="00A53A30" w:rsidRDefault="00B508CA">
                  <w:pPr>
                    <w:numPr>
                      <w:ilvl w:val="0"/>
                      <w:numId w:val="3"/>
                    </w:numPr>
                    <w:spacing w:after="107" w:line="259" w:lineRule="auto"/>
                  </w:pPr>
                  <w:r>
                    <w:rPr>
                      <w:i w:val="0"/>
                    </w:rPr>
                    <w:t>Community Coaching</w:t>
                  </w:r>
                </w:p>
                <w:p w14:paraId="7CDF4861" w14:textId="77777777" w:rsidR="00A53A30" w:rsidRDefault="00B508CA">
                  <w:pPr>
                    <w:spacing w:line="259" w:lineRule="auto"/>
                  </w:pPr>
                  <w:r>
                    <w:rPr>
                      <w:b/>
                      <w:i w:val="0"/>
                    </w:rPr>
                    <w:t xml:space="preserve"> </w:t>
                  </w:r>
                  <w:r>
                    <w:rPr>
                      <w:b/>
                      <w:i w:val="0"/>
                    </w:rPr>
                    <w:tab/>
                  </w:r>
                  <w:r>
                    <w:rPr>
                      <w:i w:val="0"/>
                    </w:rPr>
                    <w:t xml:space="preserve"> </w:t>
                  </w:r>
                </w:p>
              </w:tc>
              <w:tc>
                <w:tcPr>
                  <w:tcW w:w="1988" w:type="dxa"/>
                  <w:tcBorders>
                    <w:top w:val="single" w:sz="4" w:space="0" w:color="FFFFFF"/>
                    <w:left w:val="single" w:sz="4" w:space="0" w:color="FFFFFF"/>
                    <w:bottom w:val="single" w:sz="4" w:space="0" w:color="FFFFFF"/>
                    <w:right w:val="single" w:sz="4" w:space="0" w:color="FFFFFF"/>
                  </w:tcBorders>
                  <w:shd w:val="clear" w:color="auto" w:fill="C5D6D2"/>
                </w:tcPr>
                <w:p w14:paraId="1CE8B75D" w14:textId="77777777" w:rsidR="00A53A30" w:rsidRDefault="00B508CA">
                  <w:pPr>
                    <w:spacing w:after="206" w:line="259" w:lineRule="auto"/>
                    <w:ind w:left="1"/>
                  </w:pPr>
                  <w:r>
                    <w:rPr>
                      <w:i w:val="0"/>
                    </w:rPr>
                    <w:t xml:space="preserve">Core </w:t>
                  </w:r>
                </w:p>
                <w:p w14:paraId="74E1E8E2" w14:textId="77777777" w:rsidR="000E4649" w:rsidRDefault="000E4649">
                  <w:pPr>
                    <w:spacing w:after="206" w:line="259" w:lineRule="auto"/>
                    <w:ind w:left="1"/>
                    <w:rPr>
                      <w:i w:val="0"/>
                    </w:rPr>
                  </w:pPr>
                </w:p>
                <w:p w14:paraId="26CF23A8" w14:textId="505F58E3" w:rsidR="00A53A30" w:rsidRDefault="00B508CA">
                  <w:pPr>
                    <w:spacing w:after="206" w:line="259" w:lineRule="auto"/>
                    <w:ind w:left="1"/>
                  </w:pPr>
                  <w:r>
                    <w:rPr>
                      <w:i w:val="0"/>
                    </w:rPr>
                    <w:t xml:space="preserve">Core </w:t>
                  </w:r>
                </w:p>
                <w:p w14:paraId="7397B8B3" w14:textId="77777777" w:rsidR="00A53A30" w:rsidRDefault="00B508CA">
                  <w:pPr>
                    <w:spacing w:after="206" w:line="259" w:lineRule="auto"/>
                    <w:ind w:left="1"/>
                  </w:pPr>
                  <w:r>
                    <w:rPr>
                      <w:i w:val="0"/>
                    </w:rPr>
                    <w:t xml:space="preserve"> </w:t>
                  </w:r>
                </w:p>
                <w:p w14:paraId="1E958E9C" w14:textId="77777777" w:rsidR="00A53A30" w:rsidRDefault="00B508CA">
                  <w:pPr>
                    <w:spacing w:after="203" w:line="259" w:lineRule="auto"/>
                    <w:ind w:left="1"/>
                  </w:pPr>
                  <w:r>
                    <w:rPr>
                      <w:i w:val="0"/>
                    </w:rPr>
                    <w:t xml:space="preserve">Core </w:t>
                  </w:r>
                </w:p>
                <w:p w14:paraId="14C5FB27" w14:textId="77777777" w:rsidR="000E4649" w:rsidRDefault="000E4649">
                  <w:pPr>
                    <w:spacing w:after="206" w:line="259" w:lineRule="auto"/>
                    <w:ind w:left="1"/>
                    <w:rPr>
                      <w:i w:val="0"/>
                    </w:rPr>
                  </w:pPr>
                </w:p>
                <w:p w14:paraId="6A8CB995" w14:textId="19B01FF0" w:rsidR="00A53A30" w:rsidRDefault="00B508CA">
                  <w:pPr>
                    <w:spacing w:after="206" w:line="259" w:lineRule="auto"/>
                    <w:ind w:left="1"/>
                  </w:pPr>
                  <w:r>
                    <w:rPr>
                      <w:i w:val="0"/>
                    </w:rPr>
                    <w:t xml:space="preserve">Core </w:t>
                  </w:r>
                </w:p>
                <w:p w14:paraId="33B86AD6" w14:textId="77777777" w:rsidR="00A53A30" w:rsidRDefault="00B508CA">
                  <w:pPr>
                    <w:spacing w:after="206" w:line="259" w:lineRule="auto"/>
                    <w:ind w:left="1"/>
                  </w:pPr>
                  <w:r>
                    <w:rPr>
                      <w:i w:val="0"/>
                    </w:rPr>
                    <w:t xml:space="preserve"> </w:t>
                  </w:r>
                </w:p>
                <w:p w14:paraId="0C7E146C" w14:textId="77777777" w:rsidR="000E4649" w:rsidRDefault="000E4649">
                  <w:pPr>
                    <w:spacing w:after="206" w:line="259" w:lineRule="auto"/>
                    <w:ind w:left="1"/>
                    <w:rPr>
                      <w:i w:val="0"/>
                    </w:rPr>
                  </w:pPr>
                </w:p>
                <w:p w14:paraId="44E76830" w14:textId="730B1DAB" w:rsidR="00A53A30" w:rsidRDefault="00B508CA">
                  <w:pPr>
                    <w:spacing w:after="206" w:line="259" w:lineRule="auto"/>
                    <w:ind w:left="1"/>
                  </w:pPr>
                  <w:r>
                    <w:rPr>
                      <w:i w:val="0"/>
                    </w:rPr>
                    <w:t xml:space="preserve">Core </w:t>
                  </w:r>
                </w:p>
                <w:p w14:paraId="7C94C81C" w14:textId="56783FF3" w:rsidR="00A53A30" w:rsidRDefault="00A53A30">
                  <w:pPr>
                    <w:spacing w:after="206" w:line="259" w:lineRule="auto"/>
                    <w:ind w:left="1"/>
                  </w:pPr>
                </w:p>
                <w:p w14:paraId="164205B9" w14:textId="0A40CD28" w:rsidR="00A53A30" w:rsidRDefault="00A53A30">
                  <w:pPr>
                    <w:spacing w:line="259" w:lineRule="auto"/>
                    <w:ind w:left="1"/>
                  </w:pPr>
                </w:p>
              </w:tc>
              <w:tc>
                <w:tcPr>
                  <w:tcW w:w="1985" w:type="dxa"/>
                  <w:tcBorders>
                    <w:top w:val="single" w:sz="4" w:space="0" w:color="FFFFFF"/>
                    <w:left w:val="single" w:sz="4" w:space="0" w:color="FFFFFF"/>
                    <w:bottom w:val="single" w:sz="4" w:space="0" w:color="FFFFFF"/>
                    <w:right w:val="single" w:sz="4" w:space="0" w:color="FFFFFF"/>
                  </w:tcBorders>
                  <w:shd w:val="clear" w:color="auto" w:fill="C5D6D2"/>
                </w:tcPr>
                <w:p w14:paraId="7DE24C71" w14:textId="77777777" w:rsidR="00A53A30" w:rsidRDefault="00B508CA">
                  <w:pPr>
                    <w:spacing w:after="206" w:line="259" w:lineRule="auto"/>
                    <w:ind w:left="1"/>
                  </w:pPr>
                  <w:r>
                    <w:rPr>
                      <w:i w:val="0"/>
                    </w:rPr>
                    <w:t xml:space="preserve">Sem 1 </w:t>
                  </w:r>
                </w:p>
                <w:p w14:paraId="6D9B7AC4" w14:textId="77777777" w:rsidR="00A53A30" w:rsidRDefault="00B508CA">
                  <w:pPr>
                    <w:spacing w:after="206" w:line="259" w:lineRule="auto"/>
                    <w:ind w:left="1"/>
                  </w:pPr>
                  <w:r>
                    <w:rPr>
                      <w:i w:val="0"/>
                    </w:rPr>
                    <w:t xml:space="preserve">Sem 2 </w:t>
                  </w:r>
                </w:p>
                <w:p w14:paraId="00C1AAD1" w14:textId="77777777" w:rsidR="00A53A30" w:rsidRDefault="00B508CA">
                  <w:pPr>
                    <w:spacing w:after="206" w:line="259" w:lineRule="auto"/>
                    <w:ind w:left="1"/>
                  </w:pPr>
                  <w:r>
                    <w:rPr>
                      <w:i w:val="0"/>
                    </w:rPr>
                    <w:t xml:space="preserve"> </w:t>
                  </w:r>
                </w:p>
                <w:p w14:paraId="20C2BFE9" w14:textId="77777777" w:rsidR="00A53A30" w:rsidRDefault="00B508CA">
                  <w:pPr>
                    <w:spacing w:after="203" w:line="259" w:lineRule="auto"/>
                    <w:ind w:left="1"/>
                  </w:pPr>
                  <w:r>
                    <w:rPr>
                      <w:i w:val="0"/>
                    </w:rPr>
                    <w:t xml:space="preserve">Sem 1 </w:t>
                  </w:r>
                </w:p>
                <w:p w14:paraId="6A491905" w14:textId="77777777" w:rsidR="00A53A30" w:rsidRDefault="00B508CA">
                  <w:pPr>
                    <w:spacing w:after="206" w:line="259" w:lineRule="auto"/>
                    <w:ind w:left="1"/>
                  </w:pPr>
                  <w:r>
                    <w:rPr>
                      <w:i w:val="0"/>
                    </w:rPr>
                    <w:t xml:space="preserve">Sem 2 </w:t>
                  </w:r>
                </w:p>
                <w:p w14:paraId="1151D62F" w14:textId="77777777" w:rsidR="00A53A30" w:rsidRDefault="00B508CA">
                  <w:pPr>
                    <w:spacing w:after="206" w:line="259" w:lineRule="auto"/>
                    <w:ind w:left="1"/>
                  </w:pPr>
                  <w:r>
                    <w:rPr>
                      <w:i w:val="0"/>
                    </w:rPr>
                    <w:t xml:space="preserve"> </w:t>
                  </w:r>
                </w:p>
                <w:p w14:paraId="0B928086" w14:textId="77777777" w:rsidR="00A53A30" w:rsidRDefault="00B508CA">
                  <w:pPr>
                    <w:spacing w:after="206" w:line="259" w:lineRule="auto"/>
                    <w:ind w:left="1"/>
                  </w:pPr>
                  <w:r>
                    <w:rPr>
                      <w:i w:val="0"/>
                    </w:rPr>
                    <w:t xml:space="preserve">Sem 1 </w:t>
                  </w:r>
                </w:p>
                <w:p w14:paraId="0E59580B" w14:textId="77777777" w:rsidR="00A53A30" w:rsidRDefault="00B508CA">
                  <w:pPr>
                    <w:spacing w:after="206" w:line="259" w:lineRule="auto"/>
                    <w:ind w:left="1"/>
                  </w:pPr>
                  <w:r>
                    <w:rPr>
                      <w:i w:val="0"/>
                    </w:rPr>
                    <w:t xml:space="preserve">Sem 1 </w:t>
                  </w:r>
                </w:p>
                <w:p w14:paraId="14935CCA" w14:textId="77777777" w:rsidR="00A53A30" w:rsidRDefault="00B508CA">
                  <w:pPr>
                    <w:spacing w:after="203" w:line="259" w:lineRule="auto"/>
                    <w:ind w:left="1"/>
                  </w:pPr>
                  <w:r>
                    <w:rPr>
                      <w:i w:val="0"/>
                    </w:rPr>
                    <w:t xml:space="preserve">Sem 2 </w:t>
                  </w:r>
                </w:p>
                <w:p w14:paraId="745B6D19" w14:textId="77777777" w:rsidR="00A53A30" w:rsidRDefault="00B508CA">
                  <w:pPr>
                    <w:spacing w:line="259" w:lineRule="auto"/>
                    <w:ind w:left="1"/>
                  </w:pPr>
                  <w:r>
                    <w:rPr>
                      <w:i w:val="0"/>
                    </w:rPr>
                    <w:t xml:space="preserve">Sem 2 </w:t>
                  </w:r>
                </w:p>
              </w:tc>
            </w:tr>
          </w:tbl>
          <w:p w14:paraId="1972A995" w14:textId="77777777" w:rsidR="00A53A30" w:rsidRDefault="00A53A30">
            <w:pPr>
              <w:spacing w:line="259" w:lineRule="auto"/>
            </w:pPr>
          </w:p>
        </w:tc>
      </w:tr>
      <w:tr w:rsidR="00A53A30" w14:paraId="1C9BD08D" w14:textId="77777777">
        <w:trPr>
          <w:trHeight w:val="2027"/>
        </w:trPr>
        <w:tc>
          <w:tcPr>
            <w:tcW w:w="3114" w:type="dxa"/>
            <w:tcBorders>
              <w:top w:val="single" w:sz="4" w:space="0" w:color="FFFFFF"/>
              <w:left w:val="single" w:sz="4" w:space="0" w:color="FFFFFF"/>
              <w:bottom w:val="single" w:sz="4" w:space="0" w:color="FFFFFF"/>
              <w:right w:val="single" w:sz="4" w:space="0" w:color="FFFFFF"/>
            </w:tcBorders>
            <w:shd w:val="clear" w:color="auto" w:fill="00425C"/>
          </w:tcPr>
          <w:p w14:paraId="672594C4" w14:textId="77777777" w:rsidR="00A53A30" w:rsidRDefault="00B508CA">
            <w:pPr>
              <w:spacing w:line="259" w:lineRule="auto"/>
            </w:pPr>
            <w:r>
              <w:rPr>
                <w:b/>
                <w:i w:val="0"/>
                <w:color w:val="FFFFFF"/>
              </w:rPr>
              <w:t xml:space="preserve">Study Hours </w:t>
            </w:r>
          </w:p>
        </w:tc>
        <w:tc>
          <w:tcPr>
            <w:tcW w:w="7371" w:type="dxa"/>
            <w:tcBorders>
              <w:top w:val="single" w:sz="4" w:space="0" w:color="FFFFFF"/>
              <w:left w:val="single" w:sz="4" w:space="0" w:color="FFFFFF"/>
              <w:bottom w:val="single" w:sz="4" w:space="0" w:color="FFFFFF"/>
              <w:right w:val="single" w:sz="4" w:space="0" w:color="FFFFFF"/>
            </w:tcBorders>
            <w:shd w:val="clear" w:color="auto" w:fill="E4ECEA"/>
          </w:tcPr>
          <w:p w14:paraId="27C90E47" w14:textId="77777777" w:rsidR="00A53A30" w:rsidRDefault="00B508CA">
            <w:pPr>
              <w:spacing w:after="207" w:line="259" w:lineRule="auto"/>
              <w:ind w:left="2"/>
            </w:pPr>
            <w:r>
              <w:rPr>
                <w:b/>
                <w:i w:val="0"/>
              </w:rPr>
              <w:t xml:space="preserve">Study Hours per 15 credit Module: 200 hours. </w:t>
            </w:r>
          </w:p>
          <w:p w14:paraId="673582EC" w14:textId="77777777" w:rsidR="00A53A30" w:rsidRDefault="00B508CA">
            <w:pPr>
              <w:spacing w:after="206" w:line="259" w:lineRule="auto"/>
              <w:ind w:left="2"/>
            </w:pPr>
            <w:r>
              <w:rPr>
                <w:i w:val="0"/>
              </w:rPr>
              <w:t xml:space="preserve">Lectures and Seminars: 36 – 48 hours </w:t>
            </w:r>
          </w:p>
          <w:p w14:paraId="0AEC7C5E" w14:textId="77777777" w:rsidR="00A53A30" w:rsidRDefault="00B508CA">
            <w:pPr>
              <w:spacing w:after="207" w:line="259" w:lineRule="auto"/>
              <w:ind w:left="2"/>
            </w:pPr>
            <w:r>
              <w:rPr>
                <w:i w:val="0"/>
              </w:rPr>
              <w:t xml:space="preserve">Assessments: 30 hours </w:t>
            </w:r>
          </w:p>
          <w:p w14:paraId="2D6BD374" w14:textId="77777777" w:rsidR="00A53A30" w:rsidRDefault="00B508CA">
            <w:pPr>
              <w:spacing w:line="259" w:lineRule="auto"/>
              <w:ind w:left="2"/>
            </w:pPr>
            <w:r>
              <w:rPr>
                <w:i w:val="0"/>
              </w:rPr>
              <w:t xml:space="preserve">Preparation and Independent study: 122 – 134 hours  </w:t>
            </w:r>
          </w:p>
        </w:tc>
      </w:tr>
    </w:tbl>
    <w:p w14:paraId="209C68AC" w14:textId="77777777" w:rsidR="00A53A30" w:rsidRDefault="00B508CA">
      <w:r>
        <w:t xml:space="preserve">This programme is regulated by the Office for Students under the Quality Assurance Agency framework for UK Higher Education. Where studying may incur additional incidental or optional costs these are listed on the relevant course page on our website. Our Terms and Conditions, Admissions Policy (including baseline English language requirements) can be accessed via the University Studies website at </w:t>
      </w:r>
      <w:hyperlink r:id="rId7">
        <w:r>
          <w:rPr>
            <w:color w:val="0563C1"/>
            <w:u w:val="single" w:color="0563C1"/>
          </w:rPr>
          <w:t>https://www.universitystudies.wsc.ac.uk/policies</w:t>
        </w:r>
      </w:hyperlink>
      <w:hyperlink r:id="rId8">
        <w:r>
          <w:t xml:space="preserve"> </w:t>
        </w:r>
      </w:hyperlink>
      <w:r>
        <w:t xml:space="preserve"> </w:t>
      </w:r>
    </w:p>
    <w:p w14:paraId="2B6851D9" w14:textId="77777777" w:rsidR="00A53A30" w:rsidRDefault="00B508CA">
      <w:pPr>
        <w:spacing w:after="0" w:line="259" w:lineRule="auto"/>
      </w:pPr>
      <w:r>
        <w:rPr>
          <w:i w:val="0"/>
        </w:rPr>
        <w:t xml:space="preserve"> </w:t>
      </w:r>
    </w:p>
    <w:sectPr w:rsidR="00A53A30">
      <w:headerReference w:type="even" r:id="rId9"/>
      <w:headerReference w:type="default" r:id="rId10"/>
      <w:headerReference w:type="first" r:id="rId11"/>
      <w:pgSz w:w="11906" w:h="16838"/>
      <w:pgMar w:top="1440" w:right="794" w:bottom="826"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F167" w14:textId="77777777" w:rsidR="00891EA3" w:rsidRDefault="00891EA3">
      <w:pPr>
        <w:spacing w:after="0" w:line="240" w:lineRule="auto"/>
      </w:pPr>
      <w:r>
        <w:separator/>
      </w:r>
    </w:p>
  </w:endnote>
  <w:endnote w:type="continuationSeparator" w:id="0">
    <w:p w14:paraId="1896EADB" w14:textId="77777777" w:rsidR="00891EA3" w:rsidRDefault="0089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BA5B" w14:textId="77777777" w:rsidR="00891EA3" w:rsidRDefault="00891EA3">
      <w:pPr>
        <w:spacing w:after="0" w:line="240" w:lineRule="auto"/>
      </w:pPr>
      <w:r>
        <w:separator/>
      </w:r>
    </w:p>
  </w:footnote>
  <w:footnote w:type="continuationSeparator" w:id="0">
    <w:p w14:paraId="236516E2" w14:textId="77777777" w:rsidR="00891EA3" w:rsidRDefault="0089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00A" w14:textId="77777777" w:rsidR="00A53A30" w:rsidRDefault="00B508CA">
    <w:pPr>
      <w:spacing w:after="0" w:line="259" w:lineRule="auto"/>
      <w:ind w:right="-126"/>
      <w:jc w:val="right"/>
    </w:pPr>
    <w:r>
      <w:rPr>
        <w:noProof/>
      </w:rPr>
      <w:drawing>
        <wp:anchor distT="0" distB="0" distL="114300" distR="114300" simplePos="0" relativeHeight="251658240" behindDoc="0" locked="0" layoutInCell="1" allowOverlap="0" wp14:anchorId="5876A122" wp14:editId="5A108571">
          <wp:simplePos x="0" y="0"/>
          <wp:positionH relativeFrom="page">
            <wp:posOffset>457200</wp:posOffset>
          </wp:positionH>
          <wp:positionV relativeFrom="page">
            <wp:posOffset>460375</wp:posOffset>
          </wp:positionV>
          <wp:extent cx="1383030" cy="58801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83030" cy="588010"/>
                  </a:xfrm>
                  <a:prstGeom prst="rect">
                    <a:avLst/>
                  </a:prstGeom>
                </pic:spPr>
              </pic:pic>
            </a:graphicData>
          </a:graphic>
        </wp:anchor>
      </w:drawing>
    </w:r>
    <w:r>
      <w:rPr>
        <w:noProof/>
      </w:rPr>
      <w:drawing>
        <wp:anchor distT="0" distB="0" distL="114300" distR="114300" simplePos="0" relativeHeight="251659264" behindDoc="0" locked="0" layoutInCell="1" allowOverlap="0" wp14:anchorId="46DC3610" wp14:editId="0912E0E1">
          <wp:simplePos x="0" y="0"/>
          <wp:positionH relativeFrom="page">
            <wp:posOffset>5902960</wp:posOffset>
          </wp:positionH>
          <wp:positionV relativeFrom="page">
            <wp:posOffset>449580</wp:posOffset>
          </wp:positionV>
          <wp:extent cx="1199896" cy="54165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199896" cy="541655"/>
                  </a:xfrm>
                  <a:prstGeom prst="rect">
                    <a:avLst/>
                  </a:prstGeom>
                </pic:spPr>
              </pic:pic>
            </a:graphicData>
          </a:graphic>
        </wp:anchor>
      </w:drawing>
    </w:r>
    <w:r>
      <w:rPr>
        <w:rFonts w:ascii="Calibri" w:eastAsia="Calibri" w:hAnsi="Calibri" w:cs="Calibri"/>
        <w:i w:val="0"/>
      </w:rPr>
      <w:tab/>
      <w:t xml:space="preserve"> </w:t>
    </w:r>
  </w:p>
  <w:p w14:paraId="46DA952B" w14:textId="77777777" w:rsidR="00A53A30" w:rsidRDefault="00B508CA">
    <w:pPr>
      <w:spacing w:after="0" w:line="259" w:lineRule="auto"/>
      <w:ind w:right="-126"/>
      <w:jc w:val="right"/>
    </w:pPr>
    <w:r>
      <w:rPr>
        <w:rFonts w:ascii="Calibri" w:eastAsia="Calibri" w:hAnsi="Calibri" w:cs="Calibri"/>
        <w:i w:val="0"/>
      </w:rPr>
      <w:t xml:space="preserve"> </w:t>
    </w:r>
  </w:p>
  <w:p w14:paraId="4A995BAD" w14:textId="77777777" w:rsidR="00A53A30" w:rsidRDefault="00B508CA">
    <w:pPr>
      <w:spacing w:after="0" w:line="259" w:lineRule="auto"/>
      <w:ind w:right="-126"/>
      <w:jc w:val="right"/>
    </w:pPr>
    <w:r>
      <w:rPr>
        <w:rFonts w:ascii="Calibri" w:eastAsia="Calibri" w:hAnsi="Calibri" w:cs="Calibri"/>
        <w:i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2C03" w14:textId="77777777" w:rsidR="00A53A30" w:rsidRDefault="00B508CA">
    <w:pPr>
      <w:spacing w:after="0" w:line="259" w:lineRule="auto"/>
      <w:ind w:right="-126"/>
      <w:jc w:val="right"/>
    </w:pPr>
    <w:r>
      <w:rPr>
        <w:noProof/>
      </w:rPr>
      <w:drawing>
        <wp:anchor distT="0" distB="0" distL="114300" distR="114300" simplePos="0" relativeHeight="251660288" behindDoc="0" locked="0" layoutInCell="1" allowOverlap="0" wp14:anchorId="3449BBC8" wp14:editId="5C2F1223">
          <wp:simplePos x="0" y="0"/>
          <wp:positionH relativeFrom="page">
            <wp:posOffset>581025</wp:posOffset>
          </wp:positionH>
          <wp:positionV relativeFrom="page">
            <wp:posOffset>314325</wp:posOffset>
          </wp:positionV>
          <wp:extent cx="1238250" cy="730250"/>
          <wp:effectExtent l="0" t="0" r="0" b="0"/>
          <wp:wrapSquare wrapText="bothSides"/>
          <wp:docPr id="1024106591" name="Picture 1024106591"/>
          <wp:cNvGraphicFramePr/>
          <a:graphic xmlns:a="http://schemas.openxmlformats.org/drawingml/2006/main">
            <a:graphicData uri="http://schemas.openxmlformats.org/drawingml/2006/picture">
              <pic:pic xmlns:pic="http://schemas.openxmlformats.org/drawingml/2006/picture">
                <pic:nvPicPr>
                  <pic:cNvPr id="1024106591" name="Picture 1024106591"/>
                  <pic:cNvPicPr/>
                </pic:nvPicPr>
                <pic:blipFill>
                  <a:blip r:embed="rId1">
                    <a:extLst>
                      <a:ext uri="{28A0092B-C50C-407E-A947-70E740481C1C}">
                        <a14:useLocalDpi xmlns:a14="http://schemas.microsoft.com/office/drawing/2010/main" val="0"/>
                      </a:ext>
                    </a:extLst>
                  </a:blip>
                  <a:stretch>
                    <a:fillRect/>
                  </a:stretch>
                </pic:blipFill>
                <pic:spPr>
                  <a:xfrm>
                    <a:off x="0" y="0"/>
                    <a:ext cx="1241577" cy="7322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0" wp14:anchorId="532C8094" wp14:editId="6D4DA1E7">
          <wp:simplePos x="0" y="0"/>
          <wp:positionH relativeFrom="page">
            <wp:posOffset>5902960</wp:posOffset>
          </wp:positionH>
          <wp:positionV relativeFrom="page">
            <wp:posOffset>449580</wp:posOffset>
          </wp:positionV>
          <wp:extent cx="1199896" cy="541655"/>
          <wp:effectExtent l="0" t="0" r="0" b="0"/>
          <wp:wrapSquare wrapText="bothSides"/>
          <wp:docPr id="1092643565" name="Picture 109264356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199896" cy="541655"/>
                  </a:xfrm>
                  <a:prstGeom prst="rect">
                    <a:avLst/>
                  </a:prstGeom>
                </pic:spPr>
              </pic:pic>
            </a:graphicData>
          </a:graphic>
        </wp:anchor>
      </w:drawing>
    </w:r>
    <w:r>
      <w:rPr>
        <w:rFonts w:ascii="Calibri" w:eastAsia="Calibri" w:hAnsi="Calibri" w:cs="Calibri"/>
        <w:i w:val="0"/>
      </w:rPr>
      <w:tab/>
      <w:t xml:space="preserve"> </w:t>
    </w:r>
  </w:p>
  <w:p w14:paraId="32645C90" w14:textId="77777777" w:rsidR="00A53A30" w:rsidRDefault="00B508CA">
    <w:pPr>
      <w:spacing w:after="0" w:line="259" w:lineRule="auto"/>
      <w:ind w:right="-126"/>
      <w:jc w:val="right"/>
    </w:pPr>
    <w:r>
      <w:rPr>
        <w:rFonts w:ascii="Calibri" w:eastAsia="Calibri" w:hAnsi="Calibri" w:cs="Calibri"/>
        <w:i w:val="0"/>
      </w:rPr>
      <w:t xml:space="preserve"> </w:t>
    </w:r>
  </w:p>
  <w:p w14:paraId="4F3FC240" w14:textId="77777777" w:rsidR="00A53A30" w:rsidRDefault="00B508CA">
    <w:pPr>
      <w:spacing w:after="0" w:line="259" w:lineRule="auto"/>
      <w:ind w:right="-126"/>
      <w:jc w:val="right"/>
    </w:pPr>
    <w:r>
      <w:rPr>
        <w:rFonts w:ascii="Calibri" w:eastAsia="Calibri" w:hAnsi="Calibri" w:cs="Calibri"/>
        <w:i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AD5F" w14:textId="77777777" w:rsidR="00A53A30" w:rsidRDefault="00B508CA">
    <w:pPr>
      <w:spacing w:after="0" w:line="259" w:lineRule="auto"/>
      <w:ind w:right="-126"/>
      <w:jc w:val="right"/>
    </w:pPr>
    <w:r>
      <w:rPr>
        <w:noProof/>
      </w:rPr>
      <w:drawing>
        <wp:anchor distT="0" distB="0" distL="114300" distR="114300" simplePos="0" relativeHeight="251662336" behindDoc="0" locked="0" layoutInCell="1" allowOverlap="0" wp14:anchorId="56490996" wp14:editId="4B01A445">
          <wp:simplePos x="0" y="0"/>
          <wp:positionH relativeFrom="page">
            <wp:posOffset>457200</wp:posOffset>
          </wp:positionH>
          <wp:positionV relativeFrom="page">
            <wp:posOffset>460375</wp:posOffset>
          </wp:positionV>
          <wp:extent cx="1383030" cy="588010"/>
          <wp:effectExtent l="0" t="0" r="0" b="0"/>
          <wp:wrapSquare wrapText="bothSides"/>
          <wp:docPr id="1644872050" name="Picture 164487205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83030" cy="588010"/>
                  </a:xfrm>
                  <a:prstGeom prst="rect">
                    <a:avLst/>
                  </a:prstGeom>
                </pic:spPr>
              </pic:pic>
            </a:graphicData>
          </a:graphic>
        </wp:anchor>
      </w:drawing>
    </w:r>
    <w:r>
      <w:rPr>
        <w:noProof/>
      </w:rPr>
      <w:drawing>
        <wp:anchor distT="0" distB="0" distL="114300" distR="114300" simplePos="0" relativeHeight="251663360" behindDoc="0" locked="0" layoutInCell="1" allowOverlap="0" wp14:anchorId="1907D0AC" wp14:editId="5BDD15A6">
          <wp:simplePos x="0" y="0"/>
          <wp:positionH relativeFrom="page">
            <wp:posOffset>5902960</wp:posOffset>
          </wp:positionH>
          <wp:positionV relativeFrom="page">
            <wp:posOffset>449580</wp:posOffset>
          </wp:positionV>
          <wp:extent cx="1199896" cy="541655"/>
          <wp:effectExtent l="0" t="0" r="0" b="0"/>
          <wp:wrapSquare wrapText="bothSides"/>
          <wp:docPr id="400743282" name="Picture 40074328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199896" cy="541655"/>
                  </a:xfrm>
                  <a:prstGeom prst="rect">
                    <a:avLst/>
                  </a:prstGeom>
                </pic:spPr>
              </pic:pic>
            </a:graphicData>
          </a:graphic>
        </wp:anchor>
      </w:drawing>
    </w:r>
    <w:r>
      <w:rPr>
        <w:rFonts w:ascii="Calibri" w:eastAsia="Calibri" w:hAnsi="Calibri" w:cs="Calibri"/>
        <w:i w:val="0"/>
      </w:rPr>
      <w:tab/>
      <w:t xml:space="preserve"> </w:t>
    </w:r>
  </w:p>
  <w:p w14:paraId="4AE805AE" w14:textId="77777777" w:rsidR="00A53A30" w:rsidRDefault="00B508CA">
    <w:pPr>
      <w:spacing w:after="0" w:line="259" w:lineRule="auto"/>
      <w:ind w:right="-126"/>
      <w:jc w:val="right"/>
    </w:pPr>
    <w:r>
      <w:rPr>
        <w:rFonts w:ascii="Calibri" w:eastAsia="Calibri" w:hAnsi="Calibri" w:cs="Calibri"/>
        <w:i w:val="0"/>
      </w:rPr>
      <w:t xml:space="preserve"> </w:t>
    </w:r>
  </w:p>
  <w:p w14:paraId="422EBAD4" w14:textId="77777777" w:rsidR="00A53A30" w:rsidRDefault="00B508CA">
    <w:pPr>
      <w:spacing w:after="0" w:line="259" w:lineRule="auto"/>
      <w:ind w:right="-126"/>
      <w:jc w:val="right"/>
    </w:pPr>
    <w:r>
      <w:rPr>
        <w:rFonts w:ascii="Calibri" w:eastAsia="Calibri" w:hAnsi="Calibri" w:cs="Calibri"/>
        <w:i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5C2"/>
    <w:multiLevelType w:val="hybridMultilevel"/>
    <w:tmpl w:val="B0F41276"/>
    <w:lvl w:ilvl="0" w:tplc="C016A9E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A7594">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E0E7DC">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DE49FE">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D80E">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748090">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E26A04">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690AE">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24DA38">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E13A2F"/>
    <w:multiLevelType w:val="hybridMultilevel"/>
    <w:tmpl w:val="AD7C1156"/>
    <w:lvl w:ilvl="0" w:tplc="6624ED38">
      <w:start w:val="4"/>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F544898">
      <w:start w:val="1"/>
      <w:numFmt w:val="lowerLetter"/>
      <w:lvlText w:val="%2"/>
      <w:lvlJc w:val="left"/>
      <w:pPr>
        <w:ind w:left="1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D2E1880">
      <w:start w:val="1"/>
      <w:numFmt w:val="lowerRoman"/>
      <w:lvlText w:val="%3"/>
      <w:lvlJc w:val="left"/>
      <w:pPr>
        <w:ind w:left="1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1281690">
      <w:start w:val="1"/>
      <w:numFmt w:val="decimal"/>
      <w:lvlText w:val="%4"/>
      <w:lvlJc w:val="left"/>
      <w:pPr>
        <w:ind w:left="2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8E2CABE">
      <w:start w:val="1"/>
      <w:numFmt w:val="lowerLetter"/>
      <w:lvlText w:val="%5"/>
      <w:lvlJc w:val="left"/>
      <w:pPr>
        <w:ind w:left="33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EF68686">
      <w:start w:val="1"/>
      <w:numFmt w:val="lowerRoman"/>
      <w:lvlText w:val="%6"/>
      <w:lvlJc w:val="left"/>
      <w:pPr>
        <w:ind w:left="40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2102170">
      <w:start w:val="1"/>
      <w:numFmt w:val="decimal"/>
      <w:lvlText w:val="%7"/>
      <w:lvlJc w:val="left"/>
      <w:pPr>
        <w:ind w:left="47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8CC818">
      <w:start w:val="1"/>
      <w:numFmt w:val="lowerLetter"/>
      <w:lvlText w:val="%8"/>
      <w:lvlJc w:val="left"/>
      <w:pPr>
        <w:ind w:left="55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AF61F6A">
      <w:start w:val="1"/>
      <w:numFmt w:val="lowerRoman"/>
      <w:lvlText w:val="%9"/>
      <w:lvlJc w:val="left"/>
      <w:pPr>
        <w:ind w:left="62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F75965"/>
    <w:multiLevelType w:val="hybridMultilevel"/>
    <w:tmpl w:val="7D84BB64"/>
    <w:lvl w:ilvl="0" w:tplc="90B27528">
      <w:start w:val="6"/>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B8869CA">
      <w:start w:val="1"/>
      <w:numFmt w:val="lowerLetter"/>
      <w:lvlText w:val="%2"/>
      <w:lvlJc w:val="left"/>
      <w:pPr>
        <w:ind w:left="1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B88B90">
      <w:start w:val="1"/>
      <w:numFmt w:val="lowerRoman"/>
      <w:lvlText w:val="%3"/>
      <w:lvlJc w:val="left"/>
      <w:pPr>
        <w:ind w:left="1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A0EE692">
      <w:start w:val="1"/>
      <w:numFmt w:val="decimal"/>
      <w:lvlText w:val="%4"/>
      <w:lvlJc w:val="left"/>
      <w:pPr>
        <w:ind w:left="2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886C528">
      <w:start w:val="1"/>
      <w:numFmt w:val="lowerLetter"/>
      <w:lvlText w:val="%5"/>
      <w:lvlJc w:val="left"/>
      <w:pPr>
        <w:ind w:left="33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08A4042">
      <w:start w:val="1"/>
      <w:numFmt w:val="lowerRoman"/>
      <w:lvlText w:val="%6"/>
      <w:lvlJc w:val="left"/>
      <w:pPr>
        <w:ind w:left="40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6C61BDE">
      <w:start w:val="1"/>
      <w:numFmt w:val="decimal"/>
      <w:lvlText w:val="%7"/>
      <w:lvlJc w:val="left"/>
      <w:pPr>
        <w:ind w:left="47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D828C2E">
      <w:start w:val="1"/>
      <w:numFmt w:val="lowerLetter"/>
      <w:lvlText w:val="%8"/>
      <w:lvlJc w:val="left"/>
      <w:pPr>
        <w:ind w:left="55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9F410CE">
      <w:start w:val="1"/>
      <w:numFmt w:val="lowerRoman"/>
      <w:lvlText w:val="%9"/>
      <w:lvlJc w:val="left"/>
      <w:pPr>
        <w:ind w:left="62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770465133">
    <w:abstractNumId w:val="1"/>
  </w:num>
  <w:num w:numId="2" w16cid:durableId="423232664">
    <w:abstractNumId w:val="2"/>
  </w:num>
  <w:num w:numId="3" w16cid:durableId="54148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A30"/>
    <w:rsid w:val="000B1F6D"/>
    <w:rsid w:val="000D2565"/>
    <w:rsid w:val="000E4649"/>
    <w:rsid w:val="000F3D0E"/>
    <w:rsid w:val="00171B26"/>
    <w:rsid w:val="002D41CB"/>
    <w:rsid w:val="0031101E"/>
    <w:rsid w:val="004D0ACC"/>
    <w:rsid w:val="005102B3"/>
    <w:rsid w:val="00567FF0"/>
    <w:rsid w:val="005C2107"/>
    <w:rsid w:val="005C2B5C"/>
    <w:rsid w:val="0069019F"/>
    <w:rsid w:val="006F3DD1"/>
    <w:rsid w:val="007C448F"/>
    <w:rsid w:val="007C4ADD"/>
    <w:rsid w:val="007F1F77"/>
    <w:rsid w:val="00891EA3"/>
    <w:rsid w:val="009B7EFD"/>
    <w:rsid w:val="00A078A2"/>
    <w:rsid w:val="00A53A30"/>
    <w:rsid w:val="00A70FB3"/>
    <w:rsid w:val="00B10FEB"/>
    <w:rsid w:val="00B508CA"/>
    <w:rsid w:val="00B97F8C"/>
    <w:rsid w:val="00BF4509"/>
    <w:rsid w:val="00C15534"/>
    <w:rsid w:val="00D859DC"/>
    <w:rsid w:val="00E10032"/>
    <w:rsid w:val="00F5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83F8"/>
  <w15:docId w15:val="{54E8B4EE-A1B7-4E50-88A8-15867F54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59" w:lineRule="auto"/>
    </w:pPr>
    <w:rPr>
      <w:rFonts w:ascii="Arial" w:eastAsia="Arial" w:hAnsi="Arial" w:cs="Arial"/>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07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8A2"/>
    <w:rPr>
      <w:rFonts w:ascii="Arial" w:eastAsia="Arial" w:hAnsi="Arial" w:cs="Arial"/>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rsitystudies.wsc.ac.uk/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versitystudies.wsc.ac.uk/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8fc98df8-8e65-4596-9418-ff9ffe27fda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1256</Words>
  <Characters>7285</Characters>
  <Application>Microsoft Office Word</Application>
  <DocSecurity>0</DocSecurity>
  <Lines>227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Punchard</dc:creator>
  <cp:keywords/>
  <cp:lastModifiedBy>Tommi Charlish</cp:lastModifiedBy>
  <cp:revision>4</cp:revision>
  <dcterms:created xsi:type="dcterms:W3CDTF">2026-03-24T14:32:00Z</dcterms:created>
  <dcterms:modified xsi:type="dcterms:W3CDTF">2026-03-24T15:08:00Z</dcterms:modified>
</cp:coreProperties>
</file>